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4E7C" w14:textId="77777777" w:rsidR="00484DBF" w:rsidRPr="001628EB" w:rsidRDefault="00484DBF" w:rsidP="00EA27A3">
      <w:pPr>
        <w:spacing w:before="0" w:after="0"/>
        <w:rPr>
          <w:rFonts w:ascii="Arial" w:hAnsi="Arial"/>
          <w:b/>
          <w:caps/>
          <w:color w:val="000000" w:themeColor="text1"/>
          <w:kern w:val="28"/>
          <w:sz w:val="44"/>
        </w:rPr>
      </w:pPr>
      <w:r>
        <w:rPr>
          <w:b/>
          <w:caps/>
          <w:noProof/>
          <w:color w:val="000000" w:themeColor="text1"/>
          <w:sz w:val="44"/>
        </w:rPr>
        <mc:AlternateContent>
          <mc:Choice Requires="wps">
            <w:drawing>
              <wp:anchor distT="0" distB="0" distL="114300" distR="114300" simplePos="0" relativeHeight="251658243" behindDoc="0" locked="0" layoutInCell="1" allowOverlap="1" wp14:anchorId="1A1652F0" wp14:editId="13B6E327">
                <wp:simplePos x="0" y="0"/>
                <wp:positionH relativeFrom="margin">
                  <wp:align>right</wp:align>
                </wp:positionH>
                <wp:positionV relativeFrom="paragraph">
                  <wp:posOffset>1042035</wp:posOffset>
                </wp:positionV>
                <wp:extent cx="5535083" cy="5924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535083" cy="5924550"/>
                        </a:xfrm>
                        <a:prstGeom prst="rect">
                          <a:avLst/>
                        </a:prstGeom>
                        <a:noFill/>
                        <a:ln w="6350">
                          <a:noFill/>
                        </a:ln>
                      </wps:spPr>
                      <wps:txbx>
                        <w:txbxContent>
                          <w:p w14:paraId="6BEB9FD0" w14:textId="77777777" w:rsidR="00EA27A3" w:rsidRDefault="00EA27A3" w:rsidP="007D506F">
                            <w:pPr>
                              <w:pStyle w:val="Title"/>
                            </w:pPr>
                            <w:bookmarkStart w:id="0" w:name="_Hlk220426907"/>
                          </w:p>
                          <w:p w14:paraId="1F99AE5B" w14:textId="3AE0CA7A" w:rsidR="00484DBF" w:rsidRDefault="003A1F06" w:rsidP="007D506F">
                            <w:pPr>
                              <w:pStyle w:val="Title"/>
                            </w:pPr>
                            <w:r>
                              <w:t>ACT</w:t>
                            </w:r>
                            <w:r w:rsidR="00EA27A3">
                              <w:t xml:space="preserve"> </w:t>
                            </w:r>
                            <w:r w:rsidR="002236A5">
                              <w:t>V</w:t>
                            </w:r>
                            <w:r w:rsidR="000F270B">
                              <w:t>ocational</w:t>
                            </w:r>
                            <w:r w:rsidR="00F52D47">
                              <w:t xml:space="preserve"> </w:t>
                            </w:r>
                            <w:r w:rsidR="002236A5">
                              <w:t>E</w:t>
                            </w:r>
                            <w:r w:rsidR="000F270B">
                              <w:t xml:space="preserve">ducation </w:t>
                            </w:r>
                            <w:r w:rsidR="00F52D47">
                              <w:t xml:space="preserve">and </w:t>
                            </w:r>
                            <w:r w:rsidR="002236A5">
                              <w:t>T</w:t>
                            </w:r>
                            <w:r w:rsidR="000F270B">
                              <w:t>raining (VET)</w:t>
                            </w:r>
                            <w:r w:rsidR="002236A5">
                              <w:t xml:space="preserve"> </w:t>
                            </w:r>
                            <w:r>
                              <w:t>Completions Grants</w:t>
                            </w:r>
                            <w:r w:rsidR="008E4C51">
                              <w:t xml:space="preserve"> 2026</w:t>
                            </w:r>
                            <w:bookmarkEnd w:id="0"/>
                          </w:p>
                          <w:p w14:paraId="55CA82A7" w14:textId="77777777" w:rsidR="00EA27A3" w:rsidRDefault="00EA27A3" w:rsidP="008501F0">
                            <w:pPr>
                              <w:pStyle w:val="OpeningParagraph"/>
                              <w:rPr>
                                <w:rFonts w:ascii="Arial" w:hAnsi="Arial" w:cs="Arial"/>
                                <w:i/>
                                <w:iCs/>
                                <w:sz w:val="40"/>
                                <w:szCs w:val="40"/>
                              </w:rPr>
                            </w:pPr>
                          </w:p>
                          <w:p w14:paraId="796BA94A" w14:textId="7D1BF31D" w:rsidR="00EA27A3" w:rsidRPr="00EA27A3" w:rsidRDefault="000D009B" w:rsidP="008501F0">
                            <w:pPr>
                              <w:pStyle w:val="OpeningParagraph"/>
                              <w:rPr>
                                <w:rFonts w:ascii="Arial" w:hAnsi="Arial" w:cs="Arial"/>
                                <w:i/>
                                <w:iCs/>
                                <w:sz w:val="40"/>
                                <w:szCs w:val="40"/>
                              </w:rPr>
                            </w:pPr>
                            <w:r>
                              <w:rPr>
                                <w:rFonts w:ascii="Arial" w:hAnsi="Arial" w:cs="Arial"/>
                                <w:i/>
                                <w:iCs/>
                                <w:sz w:val="40"/>
                                <w:szCs w:val="40"/>
                              </w:rPr>
                              <w:t>Supporting</w:t>
                            </w:r>
                            <w:r w:rsidR="008E4C51" w:rsidRPr="00EA27A3">
                              <w:rPr>
                                <w:rFonts w:ascii="Arial" w:hAnsi="Arial" w:cs="Arial"/>
                                <w:i/>
                                <w:iCs/>
                                <w:sz w:val="40"/>
                                <w:szCs w:val="40"/>
                              </w:rPr>
                              <w:t xml:space="preserve"> </w:t>
                            </w:r>
                            <w:r>
                              <w:rPr>
                                <w:rFonts w:ascii="Arial" w:hAnsi="Arial" w:cs="Arial"/>
                                <w:i/>
                                <w:iCs/>
                                <w:sz w:val="40"/>
                                <w:szCs w:val="40"/>
                              </w:rPr>
                              <w:t xml:space="preserve">learners to </w:t>
                            </w:r>
                            <w:r w:rsidR="008E4C51" w:rsidRPr="00EA27A3">
                              <w:rPr>
                                <w:rFonts w:ascii="Arial" w:hAnsi="Arial" w:cs="Arial"/>
                                <w:i/>
                                <w:iCs/>
                                <w:sz w:val="40"/>
                                <w:szCs w:val="40"/>
                              </w:rPr>
                              <w:t>complet</w:t>
                            </w:r>
                            <w:r>
                              <w:rPr>
                                <w:rFonts w:ascii="Arial" w:hAnsi="Arial" w:cs="Arial"/>
                                <w:i/>
                                <w:iCs/>
                                <w:sz w:val="40"/>
                                <w:szCs w:val="40"/>
                              </w:rPr>
                              <w:t>e</w:t>
                            </w:r>
                            <w:r w:rsidR="008E4C51" w:rsidRPr="00EA27A3">
                              <w:rPr>
                                <w:rFonts w:ascii="Arial" w:hAnsi="Arial" w:cs="Arial"/>
                                <w:i/>
                                <w:iCs/>
                                <w:sz w:val="40"/>
                                <w:szCs w:val="40"/>
                              </w:rPr>
                              <w:t xml:space="preserve"> </w:t>
                            </w:r>
                            <w:r>
                              <w:rPr>
                                <w:rFonts w:ascii="Arial" w:hAnsi="Arial" w:cs="Arial"/>
                                <w:i/>
                                <w:iCs/>
                                <w:sz w:val="40"/>
                                <w:szCs w:val="40"/>
                              </w:rPr>
                              <w:t>training and succeed in</w:t>
                            </w:r>
                            <w:r w:rsidR="008E4C51" w:rsidRPr="00EA27A3">
                              <w:rPr>
                                <w:rFonts w:ascii="Arial" w:hAnsi="Arial" w:cs="Arial"/>
                                <w:i/>
                                <w:iCs/>
                                <w:sz w:val="40"/>
                                <w:szCs w:val="40"/>
                              </w:rPr>
                              <w:t xml:space="preserve"> employment</w:t>
                            </w:r>
                            <w:r w:rsidR="00EA27A3" w:rsidRPr="00EA27A3">
                              <w:rPr>
                                <w:rFonts w:ascii="Arial" w:hAnsi="Arial" w:cs="Arial"/>
                                <w:i/>
                                <w:iCs/>
                                <w:sz w:val="40"/>
                                <w:szCs w:val="40"/>
                              </w:rPr>
                              <w:t xml:space="preserve"> </w:t>
                            </w:r>
                          </w:p>
                          <w:p w14:paraId="6EBDC75B" w14:textId="77777777" w:rsidR="00EA27A3" w:rsidRDefault="00EA27A3" w:rsidP="008501F0">
                            <w:pPr>
                              <w:pStyle w:val="OpeningParagraph"/>
                              <w:rPr>
                                <w:rFonts w:ascii="Arial" w:hAnsi="Arial" w:cs="Arial"/>
                                <w:sz w:val="40"/>
                                <w:szCs w:val="40"/>
                              </w:rPr>
                            </w:pPr>
                          </w:p>
                          <w:p w14:paraId="0A4BF174" w14:textId="5A9AC53C" w:rsidR="00484DBF" w:rsidRPr="00222C35" w:rsidRDefault="00533CBB" w:rsidP="008501F0">
                            <w:pPr>
                              <w:pStyle w:val="OpeningParagraph"/>
                            </w:pPr>
                            <w:r w:rsidRPr="00EA27A3">
                              <w:t xml:space="preserve">Applications open </w:t>
                            </w:r>
                            <w:r w:rsidR="00EB22C3">
                              <w:t>9am</w:t>
                            </w:r>
                            <w:r w:rsidR="00EB22C3" w:rsidRPr="00687926">
                              <w:t xml:space="preserve"> </w:t>
                            </w:r>
                            <w:r w:rsidR="0024524E" w:rsidRPr="00687926">
                              <w:t>21</w:t>
                            </w:r>
                            <w:r w:rsidR="003A1F06" w:rsidRPr="00687926">
                              <w:t xml:space="preserve"> </w:t>
                            </w:r>
                            <w:r w:rsidR="0024524E" w:rsidRPr="00687926">
                              <w:t>April</w:t>
                            </w:r>
                            <w:r w:rsidR="003A1F06" w:rsidRPr="00687926">
                              <w:t xml:space="preserve"> </w:t>
                            </w:r>
                            <w:r w:rsidR="003A1F06" w:rsidRPr="00EA27A3">
                              <w:t>2026</w:t>
                            </w:r>
                            <w:r w:rsidR="00EA27A3">
                              <w:t xml:space="preserve">, </w:t>
                            </w:r>
                            <w:r w:rsidR="002236A5" w:rsidRPr="00EA27A3">
                              <w:t xml:space="preserve">and close </w:t>
                            </w:r>
                            <w:r w:rsidR="00EB22C3">
                              <w:t xml:space="preserve">5pm </w:t>
                            </w:r>
                            <w:r w:rsidR="008A198A">
                              <w:t>4</w:t>
                            </w:r>
                            <w:r w:rsidR="003A1F06" w:rsidRPr="00687926">
                              <w:t xml:space="preserve"> </w:t>
                            </w:r>
                            <w:r w:rsidR="008A198A">
                              <w:t>June</w:t>
                            </w:r>
                            <w:r w:rsidR="003A1F06" w:rsidRPr="00687926">
                              <w:t xml:space="preserve"> </w:t>
                            </w:r>
                            <w:r w:rsidR="003A1F06" w:rsidRPr="00EA27A3">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652F0" id="_x0000_t202" coordsize="21600,21600" o:spt="202" path="m,l,21600r21600,l21600,xe">
                <v:stroke joinstyle="miter"/>
                <v:path gradientshapeok="t" o:connecttype="rect"/>
              </v:shapetype>
              <v:shape id="Text Box 5" o:spid="_x0000_s1026" type="#_x0000_t202" style="position:absolute;left:0;text-align:left;margin-left:384.65pt;margin-top:82.05pt;width:435.85pt;height:466.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" filled="f" stroked="f" strokeweight=".5pt">
                <v:textbox>
                  <w:txbxContent>
                    <w:p w14:paraId="6BEB9FD0" w14:textId="77777777" w:rsidR="00EA27A3" w:rsidRDefault="00EA27A3" w:rsidP="007D506F">
                      <w:pPr>
                        <w:pStyle w:val="Title"/>
                      </w:pPr>
                      <w:bookmarkStart w:id="1" w:name="_Hlk220426907"/>
                    </w:p>
                    <w:p w14:paraId="1F99AE5B" w14:textId="3AE0CA7A" w:rsidR="00484DBF" w:rsidRDefault="003A1F06" w:rsidP="007D506F">
                      <w:pPr>
                        <w:pStyle w:val="Title"/>
                      </w:pPr>
                      <w:r>
                        <w:t>ACT</w:t>
                      </w:r>
                      <w:r w:rsidR="00EA27A3">
                        <w:t xml:space="preserve"> </w:t>
                      </w:r>
                      <w:r w:rsidR="002236A5">
                        <w:t>V</w:t>
                      </w:r>
                      <w:r w:rsidR="000F270B">
                        <w:t>ocational</w:t>
                      </w:r>
                      <w:r w:rsidR="00F52D47">
                        <w:t xml:space="preserve"> </w:t>
                      </w:r>
                      <w:r w:rsidR="002236A5">
                        <w:t>E</w:t>
                      </w:r>
                      <w:r w:rsidR="000F270B">
                        <w:t xml:space="preserve">ducation </w:t>
                      </w:r>
                      <w:r w:rsidR="00F52D47">
                        <w:t xml:space="preserve">and </w:t>
                      </w:r>
                      <w:r w:rsidR="002236A5">
                        <w:t>T</w:t>
                      </w:r>
                      <w:r w:rsidR="000F270B">
                        <w:t>raining (VET)</w:t>
                      </w:r>
                      <w:r w:rsidR="002236A5">
                        <w:t xml:space="preserve"> </w:t>
                      </w:r>
                      <w:r>
                        <w:t>Completions Grants</w:t>
                      </w:r>
                      <w:r w:rsidR="008E4C51">
                        <w:t xml:space="preserve"> 2026</w:t>
                      </w:r>
                      <w:bookmarkEnd w:id="1"/>
                    </w:p>
                    <w:p w14:paraId="55CA82A7" w14:textId="77777777" w:rsidR="00EA27A3" w:rsidRDefault="00EA27A3" w:rsidP="008501F0">
                      <w:pPr>
                        <w:pStyle w:val="OpeningParagraph"/>
                        <w:rPr>
                          <w:rFonts w:ascii="Arial" w:hAnsi="Arial" w:cs="Arial"/>
                          <w:i/>
                          <w:iCs/>
                          <w:sz w:val="40"/>
                          <w:szCs w:val="40"/>
                        </w:rPr>
                      </w:pPr>
                    </w:p>
                    <w:p w14:paraId="796BA94A" w14:textId="7D1BF31D" w:rsidR="00EA27A3" w:rsidRPr="00EA27A3" w:rsidRDefault="000D009B" w:rsidP="008501F0">
                      <w:pPr>
                        <w:pStyle w:val="OpeningParagraph"/>
                        <w:rPr>
                          <w:rFonts w:ascii="Arial" w:hAnsi="Arial" w:cs="Arial"/>
                          <w:i/>
                          <w:iCs/>
                          <w:sz w:val="40"/>
                          <w:szCs w:val="40"/>
                        </w:rPr>
                      </w:pPr>
                      <w:r>
                        <w:rPr>
                          <w:rFonts w:ascii="Arial" w:hAnsi="Arial" w:cs="Arial"/>
                          <w:i/>
                          <w:iCs/>
                          <w:sz w:val="40"/>
                          <w:szCs w:val="40"/>
                        </w:rPr>
                        <w:t>Supporting</w:t>
                      </w:r>
                      <w:r w:rsidR="008E4C51" w:rsidRPr="00EA27A3">
                        <w:rPr>
                          <w:rFonts w:ascii="Arial" w:hAnsi="Arial" w:cs="Arial"/>
                          <w:i/>
                          <w:iCs/>
                          <w:sz w:val="40"/>
                          <w:szCs w:val="40"/>
                        </w:rPr>
                        <w:t xml:space="preserve"> </w:t>
                      </w:r>
                      <w:r>
                        <w:rPr>
                          <w:rFonts w:ascii="Arial" w:hAnsi="Arial" w:cs="Arial"/>
                          <w:i/>
                          <w:iCs/>
                          <w:sz w:val="40"/>
                          <w:szCs w:val="40"/>
                        </w:rPr>
                        <w:t xml:space="preserve">learners to </w:t>
                      </w:r>
                      <w:r w:rsidR="008E4C51" w:rsidRPr="00EA27A3">
                        <w:rPr>
                          <w:rFonts w:ascii="Arial" w:hAnsi="Arial" w:cs="Arial"/>
                          <w:i/>
                          <w:iCs/>
                          <w:sz w:val="40"/>
                          <w:szCs w:val="40"/>
                        </w:rPr>
                        <w:t>complet</w:t>
                      </w:r>
                      <w:r>
                        <w:rPr>
                          <w:rFonts w:ascii="Arial" w:hAnsi="Arial" w:cs="Arial"/>
                          <w:i/>
                          <w:iCs/>
                          <w:sz w:val="40"/>
                          <w:szCs w:val="40"/>
                        </w:rPr>
                        <w:t>e</w:t>
                      </w:r>
                      <w:r w:rsidR="008E4C51" w:rsidRPr="00EA27A3">
                        <w:rPr>
                          <w:rFonts w:ascii="Arial" w:hAnsi="Arial" w:cs="Arial"/>
                          <w:i/>
                          <w:iCs/>
                          <w:sz w:val="40"/>
                          <w:szCs w:val="40"/>
                        </w:rPr>
                        <w:t xml:space="preserve"> </w:t>
                      </w:r>
                      <w:r>
                        <w:rPr>
                          <w:rFonts w:ascii="Arial" w:hAnsi="Arial" w:cs="Arial"/>
                          <w:i/>
                          <w:iCs/>
                          <w:sz w:val="40"/>
                          <w:szCs w:val="40"/>
                        </w:rPr>
                        <w:t>training and succeed in</w:t>
                      </w:r>
                      <w:r w:rsidR="008E4C51" w:rsidRPr="00EA27A3">
                        <w:rPr>
                          <w:rFonts w:ascii="Arial" w:hAnsi="Arial" w:cs="Arial"/>
                          <w:i/>
                          <w:iCs/>
                          <w:sz w:val="40"/>
                          <w:szCs w:val="40"/>
                        </w:rPr>
                        <w:t xml:space="preserve"> employment</w:t>
                      </w:r>
                      <w:r w:rsidR="00EA27A3" w:rsidRPr="00EA27A3">
                        <w:rPr>
                          <w:rFonts w:ascii="Arial" w:hAnsi="Arial" w:cs="Arial"/>
                          <w:i/>
                          <w:iCs/>
                          <w:sz w:val="40"/>
                          <w:szCs w:val="40"/>
                        </w:rPr>
                        <w:t xml:space="preserve"> </w:t>
                      </w:r>
                    </w:p>
                    <w:p w14:paraId="6EBDC75B" w14:textId="77777777" w:rsidR="00EA27A3" w:rsidRDefault="00EA27A3" w:rsidP="008501F0">
                      <w:pPr>
                        <w:pStyle w:val="OpeningParagraph"/>
                        <w:rPr>
                          <w:rFonts w:ascii="Arial" w:hAnsi="Arial" w:cs="Arial"/>
                          <w:sz w:val="40"/>
                          <w:szCs w:val="40"/>
                        </w:rPr>
                      </w:pPr>
                    </w:p>
                    <w:p w14:paraId="0A4BF174" w14:textId="5A9AC53C" w:rsidR="00484DBF" w:rsidRPr="00222C35" w:rsidRDefault="00533CBB" w:rsidP="008501F0">
                      <w:pPr>
                        <w:pStyle w:val="OpeningParagraph"/>
                      </w:pPr>
                      <w:r w:rsidRPr="00EA27A3">
                        <w:t xml:space="preserve">Applications open </w:t>
                      </w:r>
                      <w:r w:rsidR="00EB22C3">
                        <w:t>9am</w:t>
                      </w:r>
                      <w:r w:rsidR="00EB22C3" w:rsidRPr="00687926">
                        <w:t xml:space="preserve"> </w:t>
                      </w:r>
                      <w:r w:rsidR="0024524E" w:rsidRPr="00687926">
                        <w:t>21</w:t>
                      </w:r>
                      <w:r w:rsidR="003A1F06" w:rsidRPr="00687926">
                        <w:t xml:space="preserve"> </w:t>
                      </w:r>
                      <w:r w:rsidR="0024524E" w:rsidRPr="00687926">
                        <w:t>April</w:t>
                      </w:r>
                      <w:r w:rsidR="003A1F06" w:rsidRPr="00687926">
                        <w:t xml:space="preserve"> </w:t>
                      </w:r>
                      <w:r w:rsidR="003A1F06" w:rsidRPr="00EA27A3">
                        <w:t>2026</w:t>
                      </w:r>
                      <w:r w:rsidR="00EA27A3">
                        <w:t xml:space="preserve">, </w:t>
                      </w:r>
                      <w:r w:rsidR="002236A5" w:rsidRPr="00EA27A3">
                        <w:t xml:space="preserve">and close </w:t>
                      </w:r>
                      <w:r w:rsidR="00EB22C3">
                        <w:t xml:space="preserve">5pm </w:t>
                      </w:r>
                      <w:r w:rsidR="008A198A">
                        <w:t>4</w:t>
                      </w:r>
                      <w:r w:rsidR="003A1F06" w:rsidRPr="00687926">
                        <w:t xml:space="preserve"> </w:t>
                      </w:r>
                      <w:r w:rsidR="008A198A">
                        <w:t>June</w:t>
                      </w:r>
                      <w:r w:rsidR="003A1F06" w:rsidRPr="00687926">
                        <w:t xml:space="preserve"> </w:t>
                      </w:r>
                      <w:r w:rsidR="003A1F06" w:rsidRPr="00EA27A3">
                        <w:t>2026</w:t>
                      </w:r>
                    </w:p>
                  </w:txbxContent>
                </v:textbox>
                <w10:wrap anchorx="margin"/>
              </v:shape>
            </w:pict>
          </mc:Fallback>
        </mc:AlternateContent>
      </w:r>
      <w:r>
        <w:rPr>
          <w:b/>
          <w:caps/>
          <w:noProof/>
          <w:color w:val="000000" w:themeColor="text1"/>
          <w:sz w:val="44"/>
        </w:rPr>
        <mc:AlternateContent>
          <mc:Choice Requires="wps">
            <w:drawing>
              <wp:anchor distT="0" distB="0" distL="114300" distR="114300" simplePos="0" relativeHeight="251658242" behindDoc="0" locked="0" layoutInCell="1" allowOverlap="1" wp14:anchorId="5BCC90A6" wp14:editId="51D61A54">
                <wp:simplePos x="0" y="0"/>
                <wp:positionH relativeFrom="column">
                  <wp:posOffset>-51435</wp:posOffset>
                </wp:positionH>
                <wp:positionV relativeFrom="paragraph">
                  <wp:posOffset>8945245</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1757C4D" w14:textId="6BF52277" w:rsidR="00484DBF" w:rsidRPr="00825C83" w:rsidRDefault="00C0265E" w:rsidP="00484DBF">
                            <w:pPr>
                              <w:pStyle w:val="Directoratename"/>
                            </w:pPr>
                            <w:r w:rsidRPr="00C0265E">
                              <w:t>Chief Minister Treasury and Economic Development Directorate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90A6" id="Text Box 25" o:spid="_x0000_s1027" type="#_x0000_t202" style="position:absolute;left:0;text-align:left;margin-left:-4.05pt;margin-top:704.35pt;width:400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m9FwIAADM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" filled="f" stroked="f" strokeweight=".5pt">
                <v:textbox>
                  <w:txbxContent>
                    <w:p w14:paraId="61757C4D" w14:textId="6BF52277" w:rsidR="00484DBF" w:rsidRPr="00825C83" w:rsidRDefault="00C0265E" w:rsidP="00484DBF">
                      <w:pPr>
                        <w:pStyle w:val="Directoratename"/>
                      </w:pPr>
                      <w:r w:rsidRPr="00C0265E">
                        <w:t>Chief Minister Treasury and Economic Development Directorate</w:t>
                      </w:r>
                    </w:p>
                  </w:txbxContent>
                </v:textbox>
              </v:shape>
            </w:pict>
          </mc:Fallback>
        </mc:AlternateContent>
      </w:r>
      <w:r>
        <w:rPr>
          <w:noProof/>
        </w:rPr>
        <w:drawing>
          <wp:anchor distT="0" distB="0" distL="114300" distR="114300" simplePos="0" relativeHeight="251658240" behindDoc="1" locked="0" layoutInCell="1" allowOverlap="1" wp14:anchorId="1DBCE32E" wp14:editId="72642D4E">
            <wp:simplePos x="0" y="0"/>
            <wp:positionH relativeFrom="column">
              <wp:posOffset>-364490</wp:posOffset>
            </wp:positionH>
            <wp:positionV relativeFrom="paragraph">
              <wp:posOffset>-434340</wp:posOffset>
            </wp:positionV>
            <wp:extent cx="6885305" cy="1069022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r:link="rId12">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rPr>
        <w:drawing>
          <wp:anchor distT="0" distB="0" distL="114300" distR="114300" simplePos="0" relativeHeight="251658241" behindDoc="0" locked="0" layoutInCell="1" allowOverlap="1" wp14:anchorId="082B0220" wp14:editId="74FD319B">
            <wp:simplePos x="0" y="0"/>
            <wp:positionH relativeFrom="margin">
              <wp:align>left</wp:align>
            </wp:positionH>
            <wp:positionV relativeFrom="paragraph">
              <wp:posOffset>187325</wp:posOffset>
            </wp:positionV>
            <wp:extent cx="1753235" cy="899795"/>
            <wp:effectExtent l="0" t="0" r="0" b="0"/>
            <wp:wrapNone/>
            <wp:docPr id="9" name="Picture 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bookmarkStart w:id="1" w:name="OLE_LINK2"/>
      <w:bookmarkEnd w:id="1"/>
      <w:r>
        <w:br w:type="page"/>
      </w:r>
    </w:p>
    <w:p w14:paraId="294FDD17" w14:textId="77777777" w:rsidR="00484DBF" w:rsidRDefault="00484DBF" w:rsidP="00EA27A3">
      <w:pPr>
        <w:pStyle w:val="Heading1"/>
        <w:spacing w:before="0" w:after="0"/>
        <w:sectPr w:rsidR="00484DBF" w:rsidSect="00395AF8">
          <w:headerReference w:type="even" r:id="rId14"/>
          <w:footerReference w:type="even" r:id="rId15"/>
          <w:footerReference w:type="default" r:id="rId16"/>
          <w:type w:val="continuous"/>
          <w:pgSz w:w="11907" w:h="16840" w:code="9"/>
          <w:pgMar w:top="1134" w:right="1134" w:bottom="1701" w:left="1134" w:header="567" w:footer="254" w:gutter="0"/>
          <w:cols w:num="2" w:space="720"/>
          <w:titlePg/>
          <w:docGrid w:linePitch="299"/>
        </w:sectPr>
      </w:pPr>
    </w:p>
    <w:p w14:paraId="77E1805D" w14:textId="77777777" w:rsidR="003971EF" w:rsidRDefault="002D33BC" w:rsidP="002C0DE1">
      <w:pPr>
        <w:pStyle w:val="TOC1"/>
      </w:pPr>
      <w:r w:rsidRPr="00681E86">
        <w:lastRenderedPageBreak/>
        <w:t>Content</w:t>
      </w:r>
      <w:r w:rsidR="005115E8" w:rsidRPr="00681E86">
        <w:t>s</w:t>
      </w:r>
    </w:p>
    <w:p w14:paraId="41410927" w14:textId="77777777" w:rsidR="002C0DE1" w:rsidRPr="00681E86" w:rsidRDefault="002C0DE1" w:rsidP="002C0DE1">
      <w:pPr>
        <w:pStyle w:val="TOC1"/>
      </w:pPr>
    </w:p>
    <w:p w14:paraId="4DC8E409" w14:textId="012BAA42" w:rsidR="00687926" w:rsidRDefault="00DD7FA7">
      <w:pPr>
        <w:pStyle w:val="TOC1"/>
        <w:rPr>
          <w:rFonts w:asciiTheme="minorHAnsi" w:eastAsiaTheme="minorEastAsia" w:hAnsiTheme="minorHAnsi" w:cstheme="minorBidi"/>
          <w:b w:val="0"/>
          <w:color w:val="auto"/>
          <w:kern w:val="2"/>
          <w:szCs w:val="24"/>
          <w14:ligatures w14:val="standardContextual"/>
        </w:rPr>
      </w:pPr>
      <w:r w:rsidRPr="00681E86">
        <w:rPr>
          <w:color w:val="auto"/>
          <w:sz w:val="28"/>
        </w:rPr>
        <w:fldChar w:fldCharType="begin"/>
      </w:r>
      <w:r w:rsidR="0096313F" w:rsidRPr="00681E86">
        <w:instrText xml:space="preserve"> TOC \o "1-4" \u </w:instrText>
      </w:r>
      <w:r w:rsidRPr="00681E86">
        <w:rPr>
          <w:color w:val="auto"/>
          <w:sz w:val="28"/>
        </w:rPr>
        <w:fldChar w:fldCharType="separate"/>
      </w:r>
      <w:r w:rsidR="00687926">
        <w:t>1</w:t>
      </w:r>
      <w:r w:rsidR="00687926">
        <w:rPr>
          <w:rFonts w:asciiTheme="minorHAnsi" w:eastAsiaTheme="minorEastAsia" w:hAnsiTheme="minorHAnsi" w:cstheme="minorBidi"/>
          <w:b w:val="0"/>
          <w:color w:val="auto"/>
          <w:kern w:val="2"/>
          <w:szCs w:val="24"/>
          <w14:ligatures w14:val="standardContextual"/>
        </w:rPr>
        <w:tab/>
      </w:r>
      <w:r w:rsidR="00687926">
        <w:t>About ACT VET Completions Grants 2026</w:t>
      </w:r>
      <w:r w:rsidR="00687926">
        <w:tab/>
      </w:r>
      <w:r w:rsidR="00687926">
        <w:fldChar w:fldCharType="begin"/>
      </w:r>
      <w:r w:rsidR="00687926">
        <w:instrText xml:space="preserve"> PAGEREF _Toc224126066 \h </w:instrText>
      </w:r>
      <w:r w:rsidR="00687926">
        <w:fldChar w:fldCharType="separate"/>
      </w:r>
      <w:r w:rsidR="00A127FC">
        <w:t>3</w:t>
      </w:r>
      <w:r w:rsidR="00687926">
        <w:fldChar w:fldCharType="end"/>
      </w:r>
    </w:p>
    <w:p w14:paraId="2EE11E56" w14:textId="47516DCD" w:rsidR="00687926" w:rsidRDefault="00687926">
      <w:pPr>
        <w:pStyle w:val="TOC2"/>
        <w:rPr>
          <w:rFonts w:asciiTheme="minorHAnsi" w:eastAsiaTheme="minorEastAsia" w:hAnsiTheme="minorHAnsi" w:cstheme="minorBidi"/>
          <w:color w:val="auto"/>
          <w:kern w:val="2"/>
          <w:sz w:val="24"/>
          <w:szCs w:val="24"/>
          <w14:ligatures w14:val="standardContextual"/>
        </w:rPr>
      </w:pPr>
      <w:r>
        <w:t>1.1</w:t>
      </w:r>
      <w:r>
        <w:rPr>
          <w:rFonts w:asciiTheme="minorHAnsi" w:eastAsiaTheme="minorEastAsia" w:hAnsiTheme="minorHAnsi" w:cstheme="minorBidi"/>
          <w:color w:val="auto"/>
          <w:kern w:val="2"/>
          <w:sz w:val="24"/>
          <w:szCs w:val="24"/>
          <w14:ligatures w14:val="standardContextual"/>
        </w:rPr>
        <w:tab/>
      </w:r>
      <w:r>
        <w:t>Skills Canberra</w:t>
      </w:r>
      <w:r>
        <w:tab/>
      </w:r>
      <w:r>
        <w:fldChar w:fldCharType="begin"/>
      </w:r>
      <w:r>
        <w:instrText xml:space="preserve"> PAGEREF _Toc224126067 \h </w:instrText>
      </w:r>
      <w:r>
        <w:fldChar w:fldCharType="separate"/>
      </w:r>
      <w:r w:rsidR="00A127FC">
        <w:t>3</w:t>
      </w:r>
      <w:r>
        <w:fldChar w:fldCharType="end"/>
      </w:r>
    </w:p>
    <w:p w14:paraId="0D55A6C2" w14:textId="6110260E" w:rsidR="00687926" w:rsidRDefault="00687926">
      <w:pPr>
        <w:pStyle w:val="TOC2"/>
        <w:rPr>
          <w:rFonts w:asciiTheme="minorHAnsi" w:eastAsiaTheme="minorEastAsia" w:hAnsiTheme="minorHAnsi" w:cstheme="minorBidi"/>
          <w:color w:val="auto"/>
          <w:kern w:val="2"/>
          <w:sz w:val="24"/>
          <w:szCs w:val="24"/>
          <w14:ligatures w14:val="standardContextual"/>
        </w:rPr>
      </w:pPr>
      <w:r>
        <w:t>1.2</w:t>
      </w:r>
      <w:r>
        <w:rPr>
          <w:rFonts w:asciiTheme="minorHAnsi" w:eastAsiaTheme="minorEastAsia" w:hAnsiTheme="minorHAnsi" w:cstheme="minorBidi"/>
          <w:color w:val="auto"/>
          <w:kern w:val="2"/>
          <w:sz w:val="24"/>
          <w:szCs w:val="24"/>
          <w14:ligatures w14:val="standardContextual"/>
        </w:rPr>
        <w:tab/>
      </w:r>
      <w:r>
        <w:t>ACT VET Completions Grants 2026</w:t>
      </w:r>
      <w:r>
        <w:tab/>
      </w:r>
      <w:r>
        <w:fldChar w:fldCharType="begin"/>
      </w:r>
      <w:r>
        <w:instrText xml:space="preserve"> PAGEREF _Toc224126068 \h </w:instrText>
      </w:r>
      <w:r>
        <w:fldChar w:fldCharType="separate"/>
      </w:r>
      <w:r w:rsidR="00A127FC">
        <w:t>3</w:t>
      </w:r>
      <w:r>
        <w:fldChar w:fldCharType="end"/>
      </w:r>
    </w:p>
    <w:p w14:paraId="29EB07F7" w14:textId="277085CB" w:rsidR="00687926" w:rsidRDefault="00687926">
      <w:pPr>
        <w:pStyle w:val="TOC2"/>
        <w:rPr>
          <w:rFonts w:asciiTheme="minorHAnsi" w:eastAsiaTheme="minorEastAsia" w:hAnsiTheme="minorHAnsi" w:cstheme="minorBidi"/>
          <w:color w:val="auto"/>
          <w:kern w:val="2"/>
          <w:sz w:val="24"/>
          <w:szCs w:val="24"/>
          <w14:ligatures w14:val="standardContextual"/>
        </w:rPr>
      </w:pPr>
      <w:r>
        <w:t>1.3</w:t>
      </w:r>
      <w:r>
        <w:rPr>
          <w:rFonts w:asciiTheme="minorHAnsi" w:eastAsiaTheme="minorEastAsia" w:hAnsiTheme="minorHAnsi" w:cstheme="minorBidi"/>
          <w:color w:val="auto"/>
          <w:kern w:val="2"/>
          <w:sz w:val="24"/>
          <w:szCs w:val="24"/>
          <w14:ligatures w14:val="standardContextual"/>
        </w:rPr>
        <w:tab/>
      </w:r>
      <w:r>
        <w:t>Introduction</w:t>
      </w:r>
      <w:r>
        <w:tab/>
      </w:r>
      <w:r>
        <w:fldChar w:fldCharType="begin"/>
      </w:r>
      <w:r>
        <w:instrText xml:space="preserve"> PAGEREF _Toc224126069 \h </w:instrText>
      </w:r>
      <w:r>
        <w:fldChar w:fldCharType="separate"/>
      </w:r>
      <w:r w:rsidR="00A127FC">
        <w:t>3</w:t>
      </w:r>
      <w:r>
        <w:fldChar w:fldCharType="end"/>
      </w:r>
    </w:p>
    <w:p w14:paraId="389D5E01" w14:textId="25A96375" w:rsidR="00687926" w:rsidRDefault="00687926">
      <w:pPr>
        <w:pStyle w:val="TOC1"/>
        <w:rPr>
          <w:rFonts w:asciiTheme="minorHAnsi" w:eastAsiaTheme="minorEastAsia" w:hAnsiTheme="minorHAnsi" w:cstheme="minorBidi"/>
          <w:b w:val="0"/>
          <w:color w:val="auto"/>
          <w:kern w:val="2"/>
          <w:szCs w:val="24"/>
          <w14:ligatures w14:val="standardContextual"/>
        </w:rPr>
      </w:pPr>
      <w:r>
        <w:t>2</w:t>
      </w:r>
      <w:r>
        <w:rPr>
          <w:rFonts w:asciiTheme="minorHAnsi" w:eastAsiaTheme="minorEastAsia" w:hAnsiTheme="minorHAnsi" w:cstheme="minorBidi"/>
          <w:b w:val="0"/>
          <w:color w:val="auto"/>
          <w:kern w:val="2"/>
          <w:szCs w:val="24"/>
          <w14:ligatures w14:val="standardContextual"/>
        </w:rPr>
        <w:tab/>
      </w:r>
      <w:r>
        <w:t>Primary Objective</w:t>
      </w:r>
      <w:r>
        <w:tab/>
      </w:r>
      <w:r>
        <w:fldChar w:fldCharType="begin"/>
      </w:r>
      <w:r>
        <w:instrText xml:space="preserve"> PAGEREF _Toc224126070 \h </w:instrText>
      </w:r>
      <w:r>
        <w:fldChar w:fldCharType="separate"/>
      </w:r>
      <w:r w:rsidR="00A127FC">
        <w:t>4</w:t>
      </w:r>
      <w:r>
        <w:fldChar w:fldCharType="end"/>
      </w:r>
    </w:p>
    <w:p w14:paraId="082C2CF3" w14:textId="725592B4" w:rsidR="00687926" w:rsidRDefault="00687926">
      <w:pPr>
        <w:pStyle w:val="TOC1"/>
        <w:rPr>
          <w:rFonts w:asciiTheme="minorHAnsi" w:eastAsiaTheme="minorEastAsia" w:hAnsiTheme="minorHAnsi" w:cstheme="minorBidi"/>
          <w:b w:val="0"/>
          <w:color w:val="auto"/>
          <w:kern w:val="2"/>
          <w:szCs w:val="24"/>
          <w14:ligatures w14:val="standardContextual"/>
        </w:rPr>
      </w:pPr>
      <w:r>
        <w:t>3</w:t>
      </w:r>
      <w:r>
        <w:rPr>
          <w:rFonts w:asciiTheme="minorHAnsi" w:eastAsiaTheme="minorEastAsia" w:hAnsiTheme="minorHAnsi" w:cstheme="minorBidi"/>
          <w:b w:val="0"/>
          <w:color w:val="auto"/>
          <w:kern w:val="2"/>
          <w:szCs w:val="24"/>
          <w14:ligatures w14:val="standardContextual"/>
        </w:rPr>
        <w:tab/>
      </w:r>
      <w:r>
        <w:t>Outcomes</w:t>
      </w:r>
      <w:r>
        <w:tab/>
      </w:r>
      <w:r>
        <w:fldChar w:fldCharType="begin"/>
      </w:r>
      <w:r>
        <w:instrText xml:space="preserve"> PAGEREF _Toc224126071 \h </w:instrText>
      </w:r>
      <w:r>
        <w:fldChar w:fldCharType="separate"/>
      </w:r>
      <w:r w:rsidR="00A127FC">
        <w:t>4</w:t>
      </w:r>
      <w:r>
        <w:fldChar w:fldCharType="end"/>
      </w:r>
    </w:p>
    <w:p w14:paraId="21C51EED" w14:textId="43939E44" w:rsidR="00687926" w:rsidRDefault="00687926">
      <w:pPr>
        <w:pStyle w:val="TOC1"/>
        <w:rPr>
          <w:rFonts w:asciiTheme="minorHAnsi" w:eastAsiaTheme="minorEastAsia" w:hAnsiTheme="minorHAnsi" w:cstheme="minorBidi"/>
          <w:b w:val="0"/>
          <w:color w:val="auto"/>
          <w:kern w:val="2"/>
          <w:szCs w:val="24"/>
          <w14:ligatures w14:val="standardContextual"/>
        </w:rPr>
      </w:pPr>
      <w:r>
        <w:t>4</w:t>
      </w:r>
      <w:r>
        <w:rPr>
          <w:rFonts w:asciiTheme="minorHAnsi" w:eastAsiaTheme="minorEastAsia" w:hAnsiTheme="minorHAnsi" w:cstheme="minorBidi"/>
          <w:b w:val="0"/>
          <w:color w:val="auto"/>
          <w:kern w:val="2"/>
          <w:szCs w:val="24"/>
          <w14:ligatures w14:val="standardContextual"/>
        </w:rPr>
        <w:tab/>
      </w:r>
      <w:r>
        <w:t>Funding Parameters</w:t>
      </w:r>
      <w:r>
        <w:tab/>
      </w:r>
      <w:r>
        <w:fldChar w:fldCharType="begin"/>
      </w:r>
      <w:r>
        <w:instrText xml:space="preserve"> PAGEREF _Toc224126072 \h </w:instrText>
      </w:r>
      <w:r>
        <w:fldChar w:fldCharType="separate"/>
      </w:r>
      <w:r w:rsidR="00A127FC">
        <w:t>5</w:t>
      </w:r>
      <w:r>
        <w:fldChar w:fldCharType="end"/>
      </w:r>
    </w:p>
    <w:p w14:paraId="224029DD" w14:textId="48644EDE" w:rsidR="00687926" w:rsidRDefault="00687926">
      <w:pPr>
        <w:pStyle w:val="TOC1"/>
        <w:rPr>
          <w:rFonts w:asciiTheme="minorHAnsi" w:eastAsiaTheme="minorEastAsia" w:hAnsiTheme="minorHAnsi" w:cstheme="minorBidi"/>
          <w:b w:val="0"/>
          <w:color w:val="auto"/>
          <w:kern w:val="2"/>
          <w:szCs w:val="24"/>
          <w14:ligatures w14:val="standardContextual"/>
        </w:rPr>
      </w:pPr>
      <w:r>
        <w:t>5</w:t>
      </w:r>
      <w:r>
        <w:rPr>
          <w:rFonts w:asciiTheme="minorHAnsi" w:eastAsiaTheme="minorEastAsia" w:hAnsiTheme="minorHAnsi" w:cstheme="minorBidi"/>
          <w:b w:val="0"/>
          <w:color w:val="auto"/>
          <w:kern w:val="2"/>
          <w:szCs w:val="24"/>
          <w14:ligatures w14:val="standardContextual"/>
        </w:rPr>
        <w:tab/>
      </w:r>
      <w:r>
        <w:t>Eligibility requirements</w:t>
      </w:r>
      <w:r>
        <w:tab/>
      </w:r>
      <w:r>
        <w:fldChar w:fldCharType="begin"/>
      </w:r>
      <w:r>
        <w:instrText xml:space="preserve"> PAGEREF _Toc224126073 \h </w:instrText>
      </w:r>
      <w:r>
        <w:fldChar w:fldCharType="separate"/>
      </w:r>
      <w:r w:rsidR="00A127FC">
        <w:t>5</w:t>
      </w:r>
      <w:r>
        <w:fldChar w:fldCharType="end"/>
      </w:r>
    </w:p>
    <w:p w14:paraId="1292CCDE" w14:textId="6C942F96" w:rsidR="00687926" w:rsidRDefault="00687926">
      <w:pPr>
        <w:pStyle w:val="TOC2"/>
        <w:rPr>
          <w:rFonts w:asciiTheme="minorHAnsi" w:eastAsiaTheme="minorEastAsia" w:hAnsiTheme="minorHAnsi" w:cstheme="minorBidi"/>
          <w:color w:val="auto"/>
          <w:kern w:val="2"/>
          <w:sz w:val="24"/>
          <w:szCs w:val="24"/>
          <w14:ligatures w14:val="standardContextual"/>
        </w:rPr>
      </w:pPr>
      <w:r>
        <w:t>5.1</w:t>
      </w:r>
      <w:r>
        <w:rPr>
          <w:rFonts w:asciiTheme="minorHAnsi" w:eastAsiaTheme="minorEastAsia" w:hAnsiTheme="minorHAnsi" w:cstheme="minorBidi"/>
          <w:color w:val="auto"/>
          <w:kern w:val="2"/>
          <w:sz w:val="24"/>
          <w:szCs w:val="24"/>
          <w14:ligatures w14:val="standardContextual"/>
        </w:rPr>
        <w:tab/>
      </w:r>
      <w:r>
        <w:t>Applicant eligibility</w:t>
      </w:r>
      <w:r>
        <w:tab/>
      </w:r>
      <w:r>
        <w:fldChar w:fldCharType="begin"/>
      </w:r>
      <w:r>
        <w:instrText xml:space="preserve"> PAGEREF _Toc224126074 \h </w:instrText>
      </w:r>
      <w:r>
        <w:fldChar w:fldCharType="separate"/>
      </w:r>
      <w:r w:rsidR="00A127FC">
        <w:t>5</w:t>
      </w:r>
      <w:r>
        <w:fldChar w:fldCharType="end"/>
      </w:r>
    </w:p>
    <w:p w14:paraId="24CA225D" w14:textId="6E674E8E" w:rsidR="00687926" w:rsidRDefault="00687926">
      <w:pPr>
        <w:pStyle w:val="TOC2"/>
        <w:rPr>
          <w:rFonts w:asciiTheme="minorHAnsi" w:eastAsiaTheme="minorEastAsia" w:hAnsiTheme="minorHAnsi" w:cstheme="minorBidi"/>
          <w:color w:val="auto"/>
          <w:kern w:val="2"/>
          <w:sz w:val="24"/>
          <w:szCs w:val="24"/>
          <w14:ligatures w14:val="standardContextual"/>
        </w:rPr>
      </w:pPr>
      <w:r>
        <w:t>5.2</w:t>
      </w:r>
      <w:r>
        <w:rPr>
          <w:rFonts w:asciiTheme="minorHAnsi" w:eastAsiaTheme="minorEastAsia" w:hAnsiTheme="minorHAnsi" w:cstheme="minorBidi"/>
          <w:color w:val="auto"/>
          <w:kern w:val="2"/>
          <w:sz w:val="24"/>
          <w:szCs w:val="24"/>
          <w14:ligatures w14:val="standardContextual"/>
        </w:rPr>
        <w:tab/>
      </w:r>
      <w:r>
        <w:t>Participant Eligibility</w:t>
      </w:r>
      <w:r>
        <w:tab/>
      </w:r>
      <w:r>
        <w:fldChar w:fldCharType="begin"/>
      </w:r>
      <w:r>
        <w:instrText xml:space="preserve"> PAGEREF _Toc224126075 \h </w:instrText>
      </w:r>
      <w:r>
        <w:fldChar w:fldCharType="separate"/>
      </w:r>
      <w:r w:rsidR="00A127FC">
        <w:t>6</w:t>
      </w:r>
      <w:r>
        <w:fldChar w:fldCharType="end"/>
      </w:r>
    </w:p>
    <w:p w14:paraId="799508B9" w14:textId="320949A5" w:rsidR="00687926" w:rsidRDefault="00687926">
      <w:pPr>
        <w:pStyle w:val="TOC2"/>
        <w:rPr>
          <w:rFonts w:asciiTheme="minorHAnsi" w:eastAsiaTheme="minorEastAsia" w:hAnsiTheme="minorHAnsi" w:cstheme="minorBidi"/>
          <w:color w:val="auto"/>
          <w:kern w:val="2"/>
          <w:sz w:val="24"/>
          <w:szCs w:val="24"/>
          <w14:ligatures w14:val="standardContextual"/>
        </w:rPr>
      </w:pPr>
      <w:r>
        <w:t>5.3</w:t>
      </w:r>
      <w:r>
        <w:rPr>
          <w:rFonts w:asciiTheme="minorHAnsi" w:eastAsiaTheme="minorEastAsia" w:hAnsiTheme="minorHAnsi" w:cstheme="minorBidi"/>
          <w:color w:val="auto"/>
          <w:kern w:val="2"/>
          <w:sz w:val="24"/>
          <w:szCs w:val="24"/>
          <w14:ligatures w14:val="standardContextual"/>
        </w:rPr>
        <w:tab/>
      </w:r>
      <w:r>
        <w:t>Who is not eligible to apply</w:t>
      </w:r>
      <w:r>
        <w:tab/>
      </w:r>
      <w:r>
        <w:fldChar w:fldCharType="begin"/>
      </w:r>
      <w:r>
        <w:instrText xml:space="preserve"> PAGEREF _Toc224126076 \h </w:instrText>
      </w:r>
      <w:r>
        <w:fldChar w:fldCharType="separate"/>
      </w:r>
      <w:r w:rsidR="00A127FC">
        <w:t>6</w:t>
      </w:r>
      <w:r>
        <w:fldChar w:fldCharType="end"/>
      </w:r>
    </w:p>
    <w:p w14:paraId="657C9139" w14:textId="27EF1587" w:rsidR="00687926" w:rsidRDefault="00687926">
      <w:pPr>
        <w:pStyle w:val="TOC2"/>
        <w:rPr>
          <w:rFonts w:asciiTheme="minorHAnsi" w:eastAsiaTheme="minorEastAsia" w:hAnsiTheme="minorHAnsi" w:cstheme="minorBidi"/>
          <w:color w:val="auto"/>
          <w:kern w:val="2"/>
          <w:sz w:val="24"/>
          <w:szCs w:val="24"/>
          <w14:ligatures w14:val="standardContextual"/>
        </w:rPr>
      </w:pPr>
      <w:r>
        <w:t>5.4</w:t>
      </w:r>
      <w:r>
        <w:rPr>
          <w:rFonts w:asciiTheme="minorHAnsi" w:eastAsiaTheme="minorEastAsia" w:hAnsiTheme="minorHAnsi" w:cstheme="minorBidi"/>
          <w:color w:val="auto"/>
          <w:kern w:val="2"/>
          <w:sz w:val="24"/>
          <w:szCs w:val="24"/>
          <w14:ligatures w14:val="standardContextual"/>
        </w:rPr>
        <w:tab/>
      </w:r>
      <w:r>
        <w:t>Provision of quotes and supporting documents</w:t>
      </w:r>
      <w:r>
        <w:tab/>
      </w:r>
      <w:r>
        <w:fldChar w:fldCharType="begin"/>
      </w:r>
      <w:r>
        <w:instrText xml:space="preserve"> PAGEREF _Toc224126077 \h </w:instrText>
      </w:r>
      <w:r>
        <w:fldChar w:fldCharType="separate"/>
      </w:r>
      <w:r w:rsidR="00A127FC">
        <w:t>6</w:t>
      </w:r>
      <w:r>
        <w:fldChar w:fldCharType="end"/>
      </w:r>
    </w:p>
    <w:p w14:paraId="76DC26D3" w14:textId="63ABFB94" w:rsidR="00687926" w:rsidRDefault="00687926">
      <w:pPr>
        <w:pStyle w:val="TOC2"/>
        <w:rPr>
          <w:rFonts w:asciiTheme="minorHAnsi" w:eastAsiaTheme="minorEastAsia" w:hAnsiTheme="minorHAnsi" w:cstheme="minorBidi"/>
          <w:color w:val="auto"/>
          <w:kern w:val="2"/>
          <w:sz w:val="24"/>
          <w:szCs w:val="24"/>
          <w14:ligatures w14:val="standardContextual"/>
        </w:rPr>
      </w:pPr>
      <w:r>
        <w:t>5.5</w:t>
      </w:r>
      <w:r>
        <w:rPr>
          <w:rFonts w:asciiTheme="minorHAnsi" w:eastAsiaTheme="minorEastAsia" w:hAnsiTheme="minorHAnsi" w:cstheme="minorBidi"/>
          <w:color w:val="auto"/>
          <w:kern w:val="2"/>
          <w:sz w:val="24"/>
          <w:szCs w:val="24"/>
          <w14:ligatures w14:val="standardContextual"/>
        </w:rPr>
        <w:tab/>
      </w:r>
      <w:r>
        <w:t>What may be considered for funding</w:t>
      </w:r>
      <w:r>
        <w:tab/>
      </w:r>
      <w:r>
        <w:fldChar w:fldCharType="begin"/>
      </w:r>
      <w:r>
        <w:instrText xml:space="preserve"> PAGEREF _Toc224126078 \h </w:instrText>
      </w:r>
      <w:r>
        <w:fldChar w:fldCharType="separate"/>
      </w:r>
      <w:r w:rsidR="00A127FC">
        <w:t>7</w:t>
      </w:r>
      <w:r>
        <w:fldChar w:fldCharType="end"/>
      </w:r>
    </w:p>
    <w:p w14:paraId="76CA54CD" w14:textId="2C60A5E6" w:rsidR="00687926" w:rsidRDefault="00687926">
      <w:pPr>
        <w:pStyle w:val="TOC2"/>
        <w:rPr>
          <w:rFonts w:asciiTheme="minorHAnsi" w:eastAsiaTheme="minorEastAsia" w:hAnsiTheme="minorHAnsi" w:cstheme="minorBidi"/>
          <w:color w:val="auto"/>
          <w:kern w:val="2"/>
          <w:sz w:val="24"/>
          <w:szCs w:val="24"/>
          <w14:ligatures w14:val="standardContextual"/>
        </w:rPr>
      </w:pPr>
      <w:r>
        <w:t>5.6</w:t>
      </w:r>
      <w:r>
        <w:rPr>
          <w:rFonts w:asciiTheme="minorHAnsi" w:eastAsiaTheme="minorEastAsia" w:hAnsiTheme="minorHAnsi" w:cstheme="minorBidi"/>
          <w:color w:val="auto"/>
          <w:kern w:val="2"/>
          <w:sz w:val="24"/>
          <w:szCs w:val="24"/>
          <w14:ligatures w14:val="standardContextual"/>
        </w:rPr>
        <w:tab/>
      </w:r>
      <w:r>
        <w:t>What will not be considered for funding</w:t>
      </w:r>
      <w:r>
        <w:tab/>
      </w:r>
      <w:r>
        <w:fldChar w:fldCharType="begin"/>
      </w:r>
      <w:r>
        <w:instrText xml:space="preserve"> PAGEREF _Toc224126079 \h </w:instrText>
      </w:r>
      <w:r>
        <w:fldChar w:fldCharType="separate"/>
      </w:r>
      <w:r w:rsidR="00A127FC">
        <w:t>8</w:t>
      </w:r>
      <w:r>
        <w:fldChar w:fldCharType="end"/>
      </w:r>
    </w:p>
    <w:p w14:paraId="4B2428E5" w14:textId="4E1ECD33" w:rsidR="00687926" w:rsidRDefault="00687926">
      <w:pPr>
        <w:pStyle w:val="TOC2"/>
        <w:rPr>
          <w:rFonts w:asciiTheme="minorHAnsi" w:eastAsiaTheme="minorEastAsia" w:hAnsiTheme="minorHAnsi" w:cstheme="minorBidi"/>
          <w:color w:val="auto"/>
          <w:kern w:val="2"/>
          <w:sz w:val="24"/>
          <w:szCs w:val="24"/>
          <w14:ligatures w14:val="standardContextual"/>
        </w:rPr>
      </w:pPr>
      <w:r>
        <w:t>5.7</w:t>
      </w:r>
      <w:r>
        <w:rPr>
          <w:rFonts w:asciiTheme="minorHAnsi" w:eastAsiaTheme="minorEastAsia" w:hAnsiTheme="minorHAnsi" w:cstheme="minorBidi"/>
          <w:color w:val="auto"/>
          <w:kern w:val="2"/>
          <w:sz w:val="24"/>
          <w:szCs w:val="24"/>
          <w14:ligatures w14:val="standardContextual"/>
        </w:rPr>
        <w:tab/>
      </w:r>
      <w:r>
        <w:t>Application process</w:t>
      </w:r>
      <w:r>
        <w:tab/>
      </w:r>
      <w:r>
        <w:fldChar w:fldCharType="begin"/>
      </w:r>
      <w:r>
        <w:instrText xml:space="preserve"> PAGEREF _Toc224126080 \h </w:instrText>
      </w:r>
      <w:r>
        <w:fldChar w:fldCharType="separate"/>
      </w:r>
      <w:r w:rsidR="00A127FC">
        <w:t>9</w:t>
      </w:r>
      <w:r>
        <w:fldChar w:fldCharType="end"/>
      </w:r>
    </w:p>
    <w:p w14:paraId="4541ACBD" w14:textId="02E84167" w:rsidR="00687926" w:rsidRDefault="00687926">
      <w:pPr>
        <w:pStyle w:val="TOC2"/>
        <w:rPr>
          <w:rFonts w:asciiTheme="minorHAnsi" w:eastAsiaTheme="minorEastAsia" w:hAnsiTheme="minorHAnsi" w:cstheme="minorBidi"/>
          <w:color w:val="auto"/>
          <w:kern w:val="2"/>
          <w:sz w:val="24"/>
          <w:szCs w:val="24"/>
          <w14:ligatures w14:val="standardContextual"/>
        </w:rPr>
      </w:pPr>
      <w:r>
        <w:t>5.8</w:t>
      </w:r>
      <w:r>
        <w:rPr>
          <w:rFonts w:asciiTheme="minorHAnsi" w:eastAsiaTheme="minorEastAsia" w:hAnsiTheme="minorHAnsi" w:cstheme="minorBidi"/>
          <w:color w:val="auto"/>
          <w:kern w:val="2"/>
          <w:sz w:val="24"/>
          <w:szCs w:val="24"/>
          <w14:ligatures w14:val="standardContextual"/>
        </w:rPr>
        <w:tab/>
      </w:r>
      <w:r>
        <w:t>Request Extension of Application Timeline</w:t>
      </w:r>
      <w:r>
        <w:tab/>
      </w:r>
      <w:r>
        <w:fldChar w:fldCharType="begin"/>
      </w:r>
      <w:r>
        <w:instrText xml:space="preserve"> PAGEREF _Toc224126081 \h </w:instrText>
      </w:r>
      <w:r>
        <w:fldChar w:fldCharType="separate"/>
      </w:r>
      <w:r w:rsidR="00A127FC">
        <w:t>9</w:t>
      </w:r>
      <w:r>
        <w:fldChar w:fldCharType="end"/>
      </w:r>
    </w:p>
    <w:p w14:paraId="038C9672" w14:textId="5FAEF2AB" w:rsidR="00687926" w:rsidRDefault="00687926">
      <w:pPr>
        <w:pStyle w:val="TOC1"/>
        <w:rPr>
          <w:rFonts w:asciiTheme="minorHAnsi" w:eastAsiaTheme="minorEastAsia" w:hAnsiTheme="minorHAnsi" w:cstheme="minorBidi"/>
          <w:b w:val="0"/>
          <w:color w:val="auto"/>
          <w:kern w:val="2"/>
          <w:szCs w:val="24"/>
          <w14:ligatures w14:val="standardContextual"/>
        </w:rPr>
      </w:pPr>
      <w:r>
        <w:t>6</w:t>
      </w:r>
      <w:r>
        <w:rPr>
          <w:rFonts w:asciiTheme="minorHAnsi" w:eastAsiaTheme="minorEastAsia" w:hAnsiTheme="minorHAnsi" w:cstheme="minorBidi"/>
          <w:b w:val="0"/>
          <w:color w:val="auto"/>
          <w:kern w:val="2"/>
          <w:szCs w:val="24"/>
          <w14:ligatures w14:val="standardContextual"/>
        </w:rPr>
        <w:tab/>
      </w:r>
      <w:r>
        <w:t>Assessment</w:t>
      </w:r>
      <w:r>
        <w:tab/>
      </w:r>
      <w:r>
        <w:fldChar w:fldCharType="begin"/>
      </w:r>
      <w:r>
        <w:instrText xml:space="preserve"> PAGEREF _Toc224126082 \h </w:instrText>
      </w:r>
      <w:r>
        <w:fldChar w:fldCharType="separate"/>
      </w:r>
      <w:r w:rsidR="00A127FC">
        <w:t>9</w:t>
      </w:r>
      <w:r>
        <w:fldChar w:fldCharType="end"/>
      </w:r>
    </w:p>
    <w:p w14:paraId="43744757" w14:textId="066F574D" w:rsidR="00687926" w:rsidRDefault="00687926">
      <w:pPr>
        <w:pStyle w:val="TOC2"/>
        <w:rPr>
          <w:rFonts w:asciiTheme="minorHAnsi" w:eastAsiaTheme="minorEastAsia" w:hAnsiTheme="minorHAnsi" w:cstheme="minorBidi"/>
          <w:color w:val="auto"/>
          <w:kern w:val="2"/>
          <w:sz w:val="24"/>
          <w:szCs w:val="24"/>
          <w14:ligatures w14:val="standardContextual"/>
        </w:rPr>
      </w:pPr>
      <w:r>
        <w:t>6.1</w:t>
      </w:r>
      <w:r>
        <w:rPr>
          <w:rFonts w:asciiTheme="minorHAnsi" w:eastAsiaTheme="minorEastAsia" w:hAnsiTheme="minorHAnsi" w:cstheme="minorBidi"/>
          <w:color w:val="auto"/>
          <w:kern w:val="2"/>
          <w:sz w:val="24"/>
          <w:szCs w:val="24"/>
          <w14:ligatures w14:val="standardContextual"/>
        </w:rPr>
        <w:tab/>
      </w:r>
      <w:r>
        <w:t>Overview of assessment process</w:t>
      </w:r>
      <w:r>
        <w:tab/>
      </w:r>
      <w:r>
        <w:fldChar w:fldCharType="begin"/>
      </w:r>
      <w:r>
        <w:instrText xml:space="preserve"> PAGEREF _Toc224126083 \h </w:instrText>
      </w:r>
      <w:r>
        <w:fldChar w:fldCharType="separate"/>
      </w:r>
      <w:r w:rsidR="00A127FC">
        <w:t>9</w:t>
      </w:r>
      <w:r>
        <w:fldChar w:fldCharType="end"/>
      </w:r>
    </w:p>
    <w:p w14:paraId="5EE1A9B9" w14:textId="34251685" w:rsidR="00687926" w:rsidRDefault="00687926">
      <w:pPr>
        <w:pStyle w:val="TOC2"/>
        <w:rPr>
          <w:rFonts w:asciiTheme="minorHAnsi" w:eastAsiaTheme="minorEastAsia" w:hAnsiTheme="minorHAnsi" w:cstheme="minorBidi"/>
          <w:color w:val="auto"/>
          <w:kern w:val="2"/>
          <w:sz w:val="24"/>
          <w:szCs w:val="24"/>
          <w14:ligatures w14:val="standardContextual"/>
        </w:rPr>
      </w:pPr>
      <w:r>
        <w:t>6.2</w:t>
      </w:r>
      <w:r>
        <w:rPr>
          <w:rFonts w:asciiTheme="minorHAnsi" w:eastAsiaTheme="minorEastAsia" w:hAnsiTheme="minorHAnsi" w:cstheme="minorBidi"/>
          <w:color w:val="auto"/>
          <w:kern w:val="2"/>
          <w:sz w:val="24"/>
          <w:szCs w:val="24"/>
          <w14:ligatures w14:val="standardContextual"/>
        </w:rPr>
        <w:tab/>
      </w:r>
      <w:r>
        <w:t>Evaluation Criteria</w:t>
      </w:r>
      <w:r>
        <w:tab/>
      </w:r>
      <w:r>
        <w:fldChar w:fldCharType="begin"/>
      </w:r>
      <w:r>
        <w:instrText xml:space="preserve"> PAGEREF _Toc224126084 \h </w:instrText>
      </w:r>
      <w:r>
        <w:fldChar w:fldCharType="separate"/>
      </w:r>
      <w:r w:rsidR="00A127FC">
        <w:t>9</w:t>
      </w:r>
      <w:r>
        <w:fldChar w:fldCharType="end"/>
      </w:r>
    </w:p>
    <w:p w14:paraId="1239053D" w14:textId="1104B2D3" w:rsidR="00687926" w:rsidRDefault="00687926">
      <w:pPr>
        <w:pStyle w:val="TOC1"/>
        <w:rPr>
          <w:rFonts w:asciiTheme="minorHAnsi" w:eastAsiaTheme="minorEastAsia" w:hAnsiTheme="minorHAnsi" w:cstheme="minorBidi"/>
          <w:b w:val="0"/>
          <w:color w:val="auto"/>
          <w:kern w:val="2"/>
          <w:szCs w:val="24"/>
          <w14:ligatures w14:val="standardContextual"/>
        </w:rPr>
      </w:pPr>
      <w:r>
        <w:t>7</w:t>
      </w:r>
      <w:r>
        <w:rPr>
          <w:rFonts w:asciiTheme="minorHAnsi" w:eastAsiaTheme="minorEastAsia" w:hAnsiTheme="minorHAnsi" w:cstheme="minorBidi"/>
          <w:b w:val="0"/>
          <w:color w:val="auto"/>
          <w:kern w:val="2"/>
          <w:szCs w:val="24"/>
          <w14:ligatures w14:val="standardContextual"/>
        </w:rPr>
        <w:tab/>
      </w:r>
      <w:r>
        <w:t>Accepting a Grant</w:t>
      </w:r>
      <w:r>
        <w:tab/>
      </w:r>
      <w:r>
        <w:fldChar w:fldCharType="begin"/>
      </w:r>
      <w:r>
        <w:instrText xml:space="preserve"> PAGEREF _Toc224126085 \h </w:instrText>
      </w:r>
      <w:r>
        <w:fldChar w:fldCharType="separate"/>
      </w:r>
      <w:r w:rsidR="00A127FC">
        <w:t>10</w:t>
      </w:r>
      <w:r>
        <w:fldChar w:fldCharType="end"/>
      </w:r>
    </w:p>
    <w:p w14:paraId="308A9F45" w14:textId="3384EC3A" w:rsidR="00687926" w:rsidRDefault="00687926">
      <w:pPr>
        <w:pStyle w:val="TOC2"/>
        <w:rPr>
          <w:rFonts w:asciiTheme="minorHAnsi" w:eastAsiaTheme="minorEastAsia" w:hAnsiTheme="minorHAnsi" w:cstheme="minorBidi"/>
          <w:color w:val="auto"/>
          <w:kern w:val="2"/>
          <w:sz w:val="24"/>
          <w:szCs w:val="24"/>
          <w14:ligatures w14:val="standardContextual"/>
        </w:rPr>
      </w:pPr>
      <w:r>
        <w:t>7.1</w:t>
      </w:r>
      <w:r>
        <w:rPr>
          <w:rFonts w:asciiTheme="minorHAnsi" w:eastAsiaTheme="minorEastAsia" w:hAnsiTheme="minorHAnsi" w:cstheme="minorBidi"/>
          <w:color w:val="auto"/>
          <w:kern w:val="2"/>
          <w:sz w:val="24"/>
          <w:szCs w:val="24"/>
          <w14:ligatures w14:val="standardContextual"/>
        </w:rPr>
        <w:tab/>
      </w:r>
      <w:r>
        <w:t>Grant requirements and payment process</w:t>
      </w:r>
      <w:r>
        <w:tab/>
      </w:r>
      <w:r>
        <w:fldChar w:fldCharType="begin"/>
      </w:r>
      <w:r>
        <w:instrText xml:space="preserve"> PAGEREF _Toc224126086 \h </w:instrText>
      </w:r>
      <w:r>
        <w:fldChar w:fldCharType="separate"/>
      </w:r>
      <w:r w:rsidR="00A127FC">
        <w:t>10</w:t>
      </w:r>
      <w:r>
        <w:fldChar w:fldCharType="end"/>
      </w:r>
    </w:p>
    <w:p w14:paraId="510CF70D" w14:textId="4B88C7CD" w:rsidR="00687926" w:rsidRDefault="00687926">
      <w:pPr>
        <w:pStyle w:val="TOC2"/>
        <w:rPr>
          <w:rFonts w:asciiTheme="minorHAnsi" w:eastAsiaTheme="minorEastAsia" w:hAnsiTheme="minorHAnsi" w:cstheme="minorBidi"/>
          <w:color w:val="auto"/>
          <w:kern w:val="2"/>
          <w:sz w:val="24"/>
          <w:szCs w:val="24"/>
          <w14:ligatures w14:val="standardContextual"/>
        </w:rPr>
      </w:pPr>
      <w:r>
        <w:t>7.2</w:t>
      </w:r>
      <w:r>
        <w:rPr>
          <w:rFonts w:asciiTheme="minorHAnsi" w:eastAsiaTheme="minorEastAsia" w:hAnsiTheme="minorHAnsi" w:cstheme="minorBidi"/>
          <w:color w:val="auto"/>
          <w:kern w:val="2"/>
          <w:sz w:val="24"/>
          <w:szCs w:val="24"/>
          <w14:ligatures w14:val="standardContextual"/>
        </w:rPr>
        <w:tab/>
      </w:r>
      <w:r>
        <w:t>Conditions of funding</w:t>
      </w:r>
      <w:r>
        <w:tab/>
      </w:r>
      <w:r>
        <w:fldChar w:fldCharType="begin"/>
      </w:r>
      <w:r>
        <w:instrText xml:space="preserve"> PAGEREF _Toc224126087 \h </w:instrText>
      </w:r>
      <w:r>
        <w:fldChar w:fldCharType="separate"/>
      </w:r>
      <w:r w:rsidR="00A127FC">
        <w:t>11</w:t>
      </w:r>
      <w:r>
        <w:fldChar w:fldCharType="end"/>
      </w:r>
    </w:p>
    <w:p w14:paraId="796E9785" w14:textId="36AB37EC" w:rsidR="00687926" w:rsidRDefault="00687926">
      <w:pPr>
        <w:pStyle w:val="TOC2"/>
        <w:rPr>
          <w:rFonts w:asciiTheme="minorHAnsi" w:eastAsiaTheme="minorEastAsia" w:hAnsiTheme="minorHAnsi" w:cstheme="minorBidi"/>
          <w:color w:val="auto"/>
          <w:kern w:val="2"/>
          <w:sz w:val="24"/>
          <w:szCs w:val="24"/>
          <w14:ligatures w14:val="standardContextual"/>
        </w:rPr>
      </w:pPr>
      <w:r>
        <w:t>7.3</w:t>
      </w:r>
      <w:r>
        <w:rPr>
          <w:rFonts w:asciiTheme="minorHAnsi" w:eastAsiaTheme="minorEastAsia" w:hAnsiTheme="minorHAnsi" w:cstheme="minorBidi"/>
          <w:color w:val="auto"/>
          <w:kern w:val="2"/>
          <w:sz w:val="24"/>
          <w:szCs w:val="24"/>
          <w14:ligatures w14:val="standardContextual"/>
        </w:rPr>
        <w:tab/>
      </w:r>
      <w:r>
        <w:t>Goods and Services Tax (GST)</w:t>
      </w:r>
      <w:r>
        <w:tab/>
      </w:r>
      <w:r>
        <w:fldChar w:fldCharType="begin"/>
      </w:r>
      <w:r>
        <w:instrText xml:space="preserve"> PAGEREF _Toc224126088 \h </w:instrText>
      </w:r>
      <w:r>
        <w:fldChar w:fldCharType="separate"/>
      </w:r>
      <w:r w:rsidR="00A127FC">
        <w:t>11</w:t>
      </w:r>
      <w:r>
        <w:fldChar w:fldCharType="end"/>
      </w:r>
    </w:p>
    <w:p w14:paraId="22B7B571" w14:textId="7E56200A" w:rsidR="00687926" w:rsidRDefault="00687926">
      <w:pPr>
        <w:pStyle w:val="TOC2"/>
        <w:rPr>
          <w:rFonts w:asciiTheme="minorHAnsi" w:eastAsiaTheme="minorEastAsia" w:hAnsiTheme="minorHAnsi" w:cstheme="minorBidi"/>
          <w:color w:val="auto"/>
          <w:kern w:val="2"/>
          <w:sz w:val="24"/>
          <w:szCs w:val="24"/>
          <w14:ligatures w14:val="standardContextual"/>
        </w:rPr>
      </w:pPr>
      <w:r>
        <w:t>7.4</w:t>
      </w:r>
      <w:r>
        <w:rPr>
          <w:rFonts w:asciiTheme="minorHAnsi" w:eastAsiaTheme="minorEastAsia" w:hAnsiTheme="minorHAnsi" w:cstheme="minorBidi"/>
          <w:color w:val="auto"/>
          <w:kern w:val="2"/>
          <w:sz w:val="24"/>
          <w:szCs w:val="24"/>
          <w14:ligatures w14:val="standardContextual"/>
        </w:rPr>
        <w:tab/>
      </w:r>
      <w:r>
        <w:t>Publication</w:t>
      </w:r>
      <w:r>
        <w:tab/>
      </w:r>
      <w:r>
        <w:fldChar w:fldCharType="begin"/>
      </w:r>
      <w:r>
        <w:instrText xml:space="preserve"> PAGEREF _Toc224126089 \h </w:instrText>
      </w:r>
      <w:r>
        <w:fldChar w:fldCharType="separate"/>
      </w:r>
      <w:r w:rsidR="00A127FC">
        <w:t>11</w:t>
      </w:r>
      <w:r>
        <w:fldChar w:fldCharType="end"/>
      </w:r>
    </w:p>
    <w:p w14:paraId="7CB867B8" w14:textId="3DD4E320" w:rsidR="00687926" w:rsidRDefault="00687926">
      <w:pPr>
        <w:pStyle w:val="TOC1"/>
        <w:rPr>
          <w:rFonts w:asciiTheme="minorHAnsi" w:eastAsiaTheme="minorEastAsia" w:hAnsiTheme="minorHAnsi" w:cstheme="minorBidi"/>
          <w:b w:val="0"/>
          <w:color w:val="auto"/>
          <w:kern w:val="2"/>
          <w:szCs w:val="24"/>
          <w14:ligatures w14:val="standardContextual"/>
        </w:rPr>
      </w:pPr>
      <w:r>
        <w:t>8</w:t>
      </w:r>
      <w:r>
        <w:rPr>
          <w:rFonts w:asciiTheme="minorHAnsi" w:eastAsiaTheme="minorEastAsia" w:hAnsiTheme="minorHAnsi" w:cstheme="minorBidi"/>
          <w:b w:val="0"/>
          <w:color w:val="auto"/>
          <w:kern w:val="2"/>
          <w:szCs w:val="24"/>
          <w14:ligatures w14:val="standardContextual"/>
        </w:rPr>
        <w:tab/>
      </w:r>
      <w:r>
        <w:t>Reporting and Acquittal of Funding</w:t>
      </w:r>
      <w:r>
        <w:tab/>
      </w:r>
      <w:r>
        <w:fldChar w:fldCharType="begin"/>
      </w:r>
      <w:r>
        <w:instrText xml:space="preserve"> PAGEREF _Toc224126090 \h </w:instrText>
      </w:r>
      <w:r>
        <w:fldChar w:fldCharType="separate"/>
      </w:r>
      <w:r w:rsidR="00A127FC">
        <w:t>11</w:t>
      </w:r>
      <w:r>
        <w:fldChar w:fldCharType="end"/>
      </w:r>
    </w:p>
    <w:p w14:paraId="496FFC79" w14:textId="25ED99F2" w:rsidR="00687926" w:rsidRDefault="00687926">
      <w:pPr>
        <w:pStyle w:val="TOC2"/>
        <w:rPr>
          <w:rFonts w:asciiTheme="minorHAnsi" w:eastAsiaTheme="minorEastAsia" w:hAnsiTheme="minorHAnsi" w:cstheme="minorBidi"/>
          <w:color w:val="auto"/>
          <w:kern w:val="2"/>
          <w:sz w:val="24"/>
          <w:szCs w:val="24"/>
          <w14:ligatures w14:val="standardContextual"/>
        </w:rPr>
      </w:pPr>
      <w:r>
        <w:t>8.1</w:t>
      </w:r>
      <w:r>
        <w:rPr>
          <w:rFonts w:asciiTheme="minorHAnsi" w:eastAsiaTheme="minorEastAsia" w:hAnsiTheme="minorHAnsi" w:cstheme="minorBidi"/>
          <w:color w:val="auto"/>
          <w:kern w:val="2"/>
          <w:sz w:val="24"/>
          <w:szCs w:val="24"/>
          <w14:ligatures w14:val="standardContextual"/>
        </w:rPr>
        <w:tab/>
      </w:r>
      <w:r>
        <w:t>Reporting</w:t>
      </w:r>
      <w:r>
        <w:tab/>
      </w:r>
      <w:r>
        <w:fldChar w:fldCharType="begin"/>
      </w:r>
      <w:r>
        <w:instrText xml:space="preserve"> PAGEREF _Toc224126091 \h </w:instrText>
      </w:r>
      <w:r>
        <w:fldChar w:fldCharType="separate"/>
      </w:r>
      <w:r w:rsidR="00A127FC">
        <w:t>11</w:t>
      </w:r>
      <w:r>
        <w:fldChar w:fldCharType="end"/>
      </w:r>
    </w:p>
    <w:p w14:paraId="683586E5" w14:textId="1A8A3910" w:rsidR="00687926" w:rsidRDefault="00687926">
      <w:pPr>
        <w:pStyle w:val="TOC2"/>
        <w:rPr>
          <w:rFonts w:asciiTheme="minorHAnsi" w:eastAsiaTheme="minorEastAsia" w:hAnsiTheme="minorHAnsi" w:cstheme="minorBidi"/>
          <w:color w:val="auto"/>
          <w:kern w:val="2"/>
          <w:sz w:val="24"/>
          <w:szCs w:val="24"/>
          <w14:ligatures w14:val="standardContextual"/>
        </w:rPr>
      </w:pPr>
      <w:r>
        <w:t>8.2</w:t>
      </w:r>
      <w:r>
        <w:rPr>
          <w:rFonts w:asciiTheme="minorHAnsi" w:eastAsiaTheme="minorEastAsia" w:hAnsiTheme="minorHAnsi" w:cstheme="minorBidi"/>
          <w:color w:val="auto"/>
          <w:kern w:val="2"/>
          <w:sz w:val="24"/>
          <w:szCs w:val="24"/>
          <w14:ligatures w14:val="standardContextual"/>
        </w:rPr>
        <w:tab/>
      </w:r>
      <w:r>
        <w:t>Acquittal of funding</w:t>
      </w:r>
      <w:r>
        <w:tab/>
      </w:r>
      <w:r>
        <w:fldChar w:fldCharType="begin"/>
      </w:r>
      <w:r>
        <w:instrText xml:space="preserve"> PAGEREF _Toc224126092 \h </w:instrText>
      </w:r>
      <w:r>
        <w:fldChar w:fldCharType="separate"/>
      </w:r>
      <w:r w:rsidR="00A127FC">
        <w:t>11</w:t>
      </w:r>
      <w:r>
        <w:fldChar w:fldCharType="end"/>
      </w:r>
    </w:p>
    <w:p w14:paraId="6884F055" w14:textId="166A241E" w:rsidR="00687926" w:rsidRDefault="00687926">
      <w:pPr>
        <w:pStyle w:val="TOC1"/>
        <w:rPr>
          <w:rFonts w:asciiTheme="minorHAnsi" w:eastAsiaTheme="minorEastAsia" w:hAnsiTheme="minorHAnsi" w:cstheme="minorBidi"/>
          <w:b w:val="0"/>
          <w:color w:val="auto"/>
          <w:kern w:val="2"/>
          <w:szCs w:val="24"/>
          <w14:ligatures w14:val="standardContextual"/>
        </w:rPr>
      </w:pPr>
      <w:r>
        <w:t>9</w:t>
      </w:r>
      <w:r>
        <w:rPr>
          <w:rFonts w:asciiTheme="minorHAnsi" w:eastAsiaTheme="minorEastAsia" w:hAnsiTheme="minorHAnsi" w:cstheme="minorBidi"/>
          <w:b w:val="0"/>
          <w:color w:val="auto"/>
          <w:kern w:val="2"/>
          <w:szCs w:val="24"/>
          <w14:ligatures w14:val="standardContextual"/>
        </w:rPr>
        <w:tab/>
      </w:r>
      <w:r>
        <w:t>Important Information for Applicants</w:t>
      </w:r>
      <w:r>
        <w:tab/>
      </w:r>
      <w:r>
        <w:fldChar w:fldCharType="begin"/>
      </w:r>
      <w:r>
        <w:instrText xml:space="preserve"> PAGEREF _Toc224126093 \h </w:instrText>
      </w:r>
      <w:r>
        <w:fldChar w:fldCharType="separate"/>
      </w:r>
      <w:r w:rsidR="00A127FC">
        <w:t>12</w:t>
      </w:r>
      <w:r>
        <w:fldChar w:fldCharType="end"/>
      </w:r>
    </w:p>
    <w:p w14:paraId="4F04D15B" w14:textId="532E9A53" w:rsidR="00687926" w:rsidRDefault="00687926">
      <w:pPr>
        <w:pStyle w:val="TOC2"/>
        <w:rPr>
          <w:rFonts w:asciiTheme="minorHAnsi" w:eastAsiaTheme="minorEastAsia" w:hAnsiTheme="minorHAnsi" w:cstheme="minorBidi"/>
          <w:color w:val="auto"/>
          <w:kern w:val="2"/>
          <w:sz w:val="24"/>
          <w:szCs w:val="24"/>
          <w14:ligatures w14:val="standardContextual"/>
        </w:rPr>
      </w:pPr>
      <w:r>
        <w:t>9.1</w:t>
      </w:r>
      <w:r>
        <w:rPr>
          <w:rFonts w:asciiTheme="minorHAnsi" w:eastAsiaTheme="minorEastAsia" w:hAnsiTheme="minorHAnsi" w:cstheme="minorBidi"/>
          <w:color w:val="auto"/>
          <w:kern w:val="2"/>
          <w:sz w:val="24"/>
          <w:szCs w:val="24"/>
          <w14:ligatures w14:val="standardContextual"/>
        </w:rPr>
        <w:tab/>
      </w:r>
      <w:r>
        <w:t>Accessibility</w:t>
      </w:r>
      <w:r>
        <w:tab/>
      </w:r>
      <w:r>
        <w:fldChar w:fldCharType="begin"/>
      </w:r>
      <w:r>
        <w:instrText xml:space="preserve"> PAGEREF _Toc224126094 \h </w:instrText>
      </w:r>
      <w:r>
        <w:fldChar w:fldCharType="separate"/>
      </w:r>
      <w:r w:rsidR="00A127FC">
        <w:t>12</w:t>
      </w:r>
      <w:r>
        <w:fldChar w:fldCharType="end"/>
      </w:r>
    </w:p>
    <w:p w14:paraId="06E08028" w14:textId="54D71600" w:rsidR="00687926" w:rsidRDefault="00687926">
      <w:pPr>
        <w:pStyle w:val="TOC2"/>
        <w:rPr>
          <w:rFonts w:asciiTheme="minorHAnsi" w:eastAsiaTheme="minorEastAsia" w:hAnsiTheme="minorHAnsi" w:cstheme="minorBidi"/>
          <w:color w:val="auto"/>
          <w:kern w:val="2"/>
          <w:sz w:val="24"/>
          <w:szCs w:val="24"/>
          <w14:ligatures w14:val="standardContextual"/>
        </w:rPr>
      </w:pPr>
      <w:r>
        <w:t>9.2</w:t>
      </w:r>
      <w:r>
        <w:rPr>
          <w:rFonts w:asciiTheme="minorHAnsi" w:eastAsiaTheme="minorEastAsia" w:hAnsiTheme="minorHAnsi" w:cstheme="minorBidi"/>
          <w:color w:val="auto"/>
          <w:kern w:val="2"/>
          <w:sz w:val="24"/>
          <w:szCs w:val="24"/>
          <w14:ligatures w14:val="standardContextual"/>
        </w:rPr>
        <w:tab/>
      </w:r>
      <w:r>
        <w:t>When to submit your application</w:t>
      </w:r>
      <w:r>
        <w:tab/>
      </w:r>
      <w:r>
        <w:fldChar w:fldCharType="begin"/>
      </w:r>
      <w:r>
        <w:instrText xml:space="preserve"> PAGEREF _Toc224126095 \h </w:instrText>
      </w:r>
      <w:r>
        <w:fldChar w:fldCharType="separate"/>
      </w:r>
      <w:r w:rsidR="00A127FC">
        <w:t>12</w:t>
      </w:r>
      <w:r>
        <w:fldChar w:fldCharType="end"/>
      </w:r>
    </w:p>
    <w:p w14:paraId="6DA127D0" w14:textId="28742D0E" w:rsidR="00687926" w:rsidRDefault="00687926">
      <w:pPr>
        <w:pStyle w:val="TOC2"/>
        <w:rPr>
          <w:rFonts w:asciiTheme="minorHAnsi" w:eastAsiaTheme="minorEastAsia" w:hAnsiTheme="minorHAnsi" w:cstheme="minorBidi"/>
          <w:color w:val="auto"/>
          <w:kern w:val="2"/>
          <w:sz w:val="24"/>
          <w:szCs w:val="24"/>
          <w14:ligatures w14:val="standardContextual"/>
        </w:rPr>
      </w:pPr>
      <w:r>
        <w:t>9.3</w:t>
      </w:r>
      <w:r>
        <w:rPr>
          <w:rFonts w:asciiTheme="minorHAnsi" w:eastAsiaTheme="minorEastAsia" w:hAnsiTheme="minorHAnsi" w:cstheme="minorBidi"/>
          <w:color w:val="auto"/>
          <w:kern w:val="2"/>
          <w:sz w:val="24"/>
          <w:szCs w:val="24"/>
          <w14:ligatures w14:val="standardContextual"/>
        </w:rPr>
        <w:tab/>
      </w:r>
      <w:r>
        <w:t>How to submit your application</w:t>
      </w:r>
      <w:r>
        <w:tab/>
      </w:r>
      <w:r>
        <w:fldChar w:fldCharType="begin"/>
      </w:r>
      <w:r>
        <w:instrText xml:space="preserve"> PAGEREF _Toc224126096 \h </w:instrText>
      </w:r>
      <w:r>
        <w:fldChar w:fldCharType="separate"/>
      </w:r>
      <w:r w:rsidR="00A127FC">
        <w:t>12</w:t>
      </w:r>
      <w:r>
        <w:fldChar w:fldCharType="end"/>
      </w:r>
    </w:p>
    <w:p w14:paraId="5A8159FC" w14:textId="42315DD3" w:rsidR="00687926" w:rsidRDefault="00687926">
      <w:pPr>
        <w:pStyle w:val="TOC2"/>
        <w:rPr>
          <w:rFonts w:asciiTheme="minorHAnsi" w:eastAsiaTheme="minorEastAsia" w:hAnsiTheme="minorHAnsi" w:cstheme="minorBidi"/>
          <w:color w:val="auto"/>
          <w:kern w:val="2"/>
          <w:sz w:val="24"/>
          <w:szCs w:val="24"/>
          <w14:ligatures w14:val="standardContextual"/>
        </w:rPr>
      </w:pPr>
      <w:r>
        <w:t>9.4</w:t>
      </w:r>
      <w:r>
        <w:rPr>
          <w:rFonts w:asciiTheme="minorHAnsi" w:eastAsiaTheme="minorEastAsia" w:hAnsiTheme="minorHAnsi" w:cstheme="minorBidi"/>
          <w:color w:val="auto"/>
          <w:kern w:val="2"/>
          <w:sz w:val="24"/>
          <w:szCs w:val="24"/>
          <w14:ligatures w14:val="standardContextual"/>
        </w:rPr>
        <w:tab/>
      </w:r>
      <w:r>
        <w:t>Addendum</w:t>
      </w:r>
      <w:r>
        <w:tab/>
      </w:r>
      <w:r>
        <w:fldChar w:fldCharType="begin"/>
      </w:r>
      <w:r>
        <w:instrText xml:space="preserve"> PAGEREF _Toc224126097 \h </w:instrText>
      </w:r>
      <w:r>
        <w:fldChar w:fldCharType="separate"/>
      </w:r>
      <w:r w:rsidR="00A127FC">
        <w:t>12</w:t>
      </w:r>
      <w:r>
        <w:fldChar w:fldCharType="end"/>
      </w:r>
    </w:p>
    <w:p w14:paraId="2F660977" w14:textId="5EADF109" w:rsidR="00687926" w:rsidRDefault="00687926">
      <w:pPr>
        <w:pStyle w:val="TOC2"/>
        <w:rPr>
          <w:rFonts w:asciiTheme="minorHAnsi" w:eastAsiaTheme="minorEastAsia" w:hAnsiTheme="minorHAnsi" w:cstheme="minorBidi"/>
          <w:color w:val="auto"/>
          <w:kern w:val="2"/>
          <w:sz w:val="24"/>
          <w:szCs w:val="24"/>
          <w14:ligatures w14:val="standardContextual"/>
        </w:rPr>
      </w:pPr>
      <w:r>
        <w:t>9.5</w:t>
      </w:r>
      <w:r>
        <w:rPr>
          <w:rFonts w:asciiTheme="minorHAnsi" w:eastAsiaTheme="minorEastAsia" w:hAnsiTheme="minorHAnsi" w:cstheme="minorBidi"/>
          <w:color w:val="auto"/>
          <w:kern w:val="2"/>
          <w:sz w:val="24"/>
          <w:szCs w:val="24"/>
          <w14:ligatures w14:val="standardContextual"/>
        </w:rPr>
        <w:tab/>
      </w:r>
      <w:r>
        <w:t>Confidentiality</w:t>
      </w:r>
      <w:r>
        <w:tab/>
      </w:r>
      <w:r>
        <w:fldChar w:fldCharType="begin"/>
      </w:r>
      <w:r>
        <w:instrText xml:space="preserve"> PAGEREF _Toc224126098 \h </w:instrText>
      </w:r>
      <w:r>
        <w:fldChar w:fldCharType="separate"/>
      </w:r>
      <w:r w:rsidR="00A127FC">
        <w:t>12</w:t>
      </w:r>
      <w:r>
        <w:fldChar w:fldCharType="end"/>
      </w:r>
    </w:p>
    <w:p w14:paraId="7885E9CD" w14:textId="1BA6BFB5" w:rsidR="00687926" w:rsidRDefault="00687926">
      <w:pPr>
        <w:pStyle w:val="TOC2"/>
        <w:rPr>
          <w:rFonts w:asciiTheme="minorHAnsi" w:eastAsiaTheme="minorEastAsia" w:hAnsiTheme="minorHAnsi" w:cstheme="minorBidi"/>
          <w:color w:val="auto"/>
          <w:kern w:val="2"/>
          <w:sz w:val="24"/>
          <w:szCs w:val="24"/>
          <w14:ligatures w14:val="standardContextual"/>
        </w:rPr>
      </w:pPr>
      <w:r>
        <w:t>9.6</w:t>
      </w:r>
      <w:r>
        <w:rPr>
          <w:rFonts w:asciiTheme="minorHAnsi" w:eastAsiaTheme="minorEastAsia" w:hAnsiTheme="minorHAnsi" w:cstheme="minorBidi"/>
          <w:color w:val="auto"/>
          <w:kern w:val="2"/>
          <w:sz w:val="24"/>
          <w:szCs w:val="24"/>
          <w14:ligatures w14:val="standardContextual"/>
        </w:rPr>
        <w:tab/>
      </w:r>
      <w:r>
        <w:t>Complaints</w:t>
      </w:r>
      <w:r>
        <w:tab/>
      </w:r>
      <w:r>
        <w:fldChar w:fldCharType="begin"/>
      </w:r>
      <w:r>
        <w:instrText xml:space="preserve"> PAGEREF _Toc224126099 \h </w:instrText>
      </w:r>
      <w:r>
        <w:fldChar w:fldCharType="separate"/>
      </w:r>
      <w:r w:rsidR="00A127FC">
        <w:t>12</w:t>
      </w:r>
      <w:r>
        <w:fldChar w:fldCharType="end"/>
      </w:r>
    </w:p>
    <w:p w14:paraId="446759EE" w14:textId="36F8E2A3" w:rsidR="00687926" w:rsidRDefault="00687926">
      <w:pPr>
        <w:pStyle w:val="TOC1"/>
        <w:rPr>
          <w:rFonts w:asciiTheme="minorHAnsi" w:eastAsiaTheme="minorEastAsia" w:hAnsiTheme="minorHAnsi" w:cstheme="minorBidi"/>
          <w:b w:val="0"/>
          <w:color w:val="auto"/>
          <w:kern w:val="2"/>
          <w:szCs w:val="24"/>
          <w14:ligatures w14:val="standardContextual"/>
        </w:rPr>
      </w:pPr>
      <w:r>
        <w:t>10</w:t>
      </w:r>
      <w:r>
        <w:rPr>
          <w:rFonts w:asciiTheme="minorHAnsi" w:eastAsiaTheme="minorEastAsia" w:hAnsiTheme="minorHAnsi" w:cstheme="minorBidi"/>
          <w:b w:val="0"/>
          <w:color w:val="auto"/>
          <w:kern w:val="2"/>
          <w:szCs w:val="24"/>
          <w14:ligatures w14:val="standardContextual"/>
        </w:rPr>
        <w:tab/>
      </w:r>
      <w:r>
        <w:t>Further information</w:t>
      </w:r>
      <w:r>
        <w:tab/>
      </w:r>
      <w:r>
        <w:fldChar w:fldCharType="begin"/>
      </w:r>
      <w:r>
        <w:instrText xml:space="preserve"> PAGEREF _Toc224126100 \h </w:instrText>
      </w:r>
      <w:r>
        <w:fldChar w:fldCharType="separate"/>
      </w:r>
      <w:r w:rsidR="00A127FC">
        <w:t>13</w:t>
      </w:r>
      <w:r>
        <w:fldChar w:fldCharType="end"/>
      </w:r>
    </w:p>
    <w:p w14:paraId="20E234B4" w14:textId="4BF1CE0F" w:rsidR="000535C8" w:rsidRDefault="00DD7FA7" w:rsidP="00EA27A3">
      <w:pPr>
        <w:pStyle w:val="Heading1"/>
        <w:numPr>
          <w:ilvl w:val="0"/>
          <w:numId w:val="0"/>
        </w:numPr>
        <w:spacing w:before="0" w:after="0"/>
        <w:ind w:left="432"/>
        <w:rPr>
          <w:caps/>
          <w:noProof/>
        </w:rPr>
      </w:pPr>
      <w:r w:rsidRPr="00681E86">
        <w:rPr>
          <w:caps/>
          <w:noProof/>
        </w:rPr>
        <w:fldChar w:fldCharType="end"/>
      </w:r>
    </w:p>
    <w:p w14:paraId="4BC27A5F" w14:textId="77777777" w:rsidR="000535C8" w:rsidRDefault="000535C8" w:rsidP="00EA27A3">
      <w:pPr>
        <w:spacing w:before="0" w:after="0"/>
        <w:ind w:left="0"/>
        <w:rPr>
          <w:rFonts w:asciiTheme="majorHAnsi" w:eastAsiaTheme="majorEastAsia" w:hAnsiTheme="majorHAnsi" w:cs="Calibri"/>
          <w:b/>
          <w:bCs/>
          <w:caps/>
          <w:noProof/>
          <w:color w:val="482D8C"/>
          <w:spacing w:val="-20"/>
          <w:kern w:val="36"/>
          <w:sz w:val="40"/>
          <w:szCs w:val="40"/>
        </w:rPr>
      </w:pPr>
      <w:r>
        <w:rPr>
          <w:caps/>
          <w:noProof/>
        </w:rPr>
        <w:br w:type="page"/>
      </w:r>
    </w:p>
    <w:p w14:paraId="2F3C4B49" w14:textId="4ABBEABA" w:rsidR="003A4BF9" w:rsidRDefault="00D056EC" w:rsidP="00EA27A3">
      <w:pPr>
        <w:pStyle w:val="Heading1"/>
        <w:spacing w:before="0" w:after="0"/>
      </w:pPr>
      <w:bookmarkStart w:id="2" w:name="_Toc224126066"/>
      <w:r w:rsidRPr="005137A9">
        <w:lastRenderedPageBreak/>
        <w:t xml:space="preserve">About </w:t>
      </w:r>
      <w:r w:rsidR="0024524E">
        <w:t xml:space="preserve">ACT </w:t>
      </w:r>
      <w:r w:rsidR="00EA27A3">
        <w:t xml:space="preserve">VET </w:t>
      </w:r>
      <w:r w:rsidR="0024524E">
        <w:t xml:space="preserve">Completions Grants </w:t>
      </w:r>
      <w:r w:rsidR="008E4C51">
        <w:t>2026</w:t>
      </w:r>
      <w:bookmarkEnd w:id="2"/>
    </w:p>
    <w:p w14:paraId="3258D233" w14:textId="77777777" w:rsidR="00EA27A3" w:rsidRPr="00EA27A3" w:rsidRDefault="00EA27A3" w:rsidP="00EA27A3">
      <w:pPr>
        <w:pStyle w:val="Heading2"/>
        <w:numPr>
          <w:ilvl w:val="0"/>
          <w:numId w:val="0"/>
        </w:numPr>
      </w:pPr>
    </w:p>
    <w:p w14:paraId="3720FC2C" w14:textId="1D5ECF9E" w:rsidR="00372B31" w:rsidRPr="00681E86" w:rsidRDefault="002236A5" w:rsidP="00EA27A3">
      <w:pPr>
        <w:pStyle w:val="Heading2"/>
        <w:spacing w:before="0" w:after="0"/>
        <w:ind w:left="0" w:firstLine="0"/>
      </w:pPr>
      <w:bookmarkStart w:id="3" w:name="_Toc224126067"/>
      <w:bookmarkStart w:id="4" w:name="_Hlk15569895"/>
      <w:r>
        <w:t>Skills Canberra</w:t>
      </w:r>
      <w:bookmarkEnd w:id="3"/>
    </w:p>
    <w:bookmarkEnd w:id="4"/>
    <w:p w14:paraId="5B4801CB" w14:textId="4CC20E6D" w:rsidR="00EA27A3" w:rsidRPr="00EA27A3" w:rsidRDefault="005D6548" w:rsidP="00EA27A3">
      <w:pPr>
        <w:spacing w:before="0" w:after="0"/>
      </w:pPr>
      <w:r w:rsidRPr="00EA27A3">
        <w:t xml:space="preserve">Skills Canberra develops and administers funding initiatives to support the delivery of adult community education (ACE) and vocational education and training (VET) in the ACT. </w:t>
      </w:r>
    </w:p>
    <w:p w14:paraId="7A30FCB8" w14:textId="77777777" w:rsidR="00EA27A3" w:rsidRPr="00EA27A3" w:rsidRDefault="00EA27A3" w:rsidP="00EA27A3">
      <w:pPr>
        <w:spacing w:before="0" w:after="0"/>
      </w:pPr>
    </w:p>
    <w:p w14:paraId="335C57CA" w14:textId="6EA244CF" w:rsidR="005D6548" w:rsidRPr="00EA27A3" w:rsidRDefault="005D6548" w:rsidP="00EA27A3">
      <w:pPr>
        <w:spacing w:before="0" w:after="0"/>
      </w:pPr>
      <w:r w:rsidRPr="00EA27A3">
        <w:t>Skills Canberra implements ACT Government objectives to build an interconnected system that is accessible, high quality, meets the needs of students, employers and industry, and enables movement between sectors.</w:t>
      </w:r>
    </w:p>
    <w:p w14:paraId="1DFA5748" w14:textId="77777777" w:rsidR="00EA27A3" w:rsidRPr="00EA27A3" w:rsidRDefault="00EA27A3" w:rsidP="00EA27A3">
      <w:pPr>
        <w:spacing w:before="0" w:after="0"/>
      </w:pPr>
    </w:p>
    <w:p w14:paraId="6F5262A9" w14:textId="45317C41" w:rsidR="00B77E55" w:rsidRPr="00EA27A3" w:rsidRDefault="00B77E55" w:rsidP="00EA27A3">
      <w:pPr>
        <w:spacing w:before="0" w:after="0"/>
      </w:pPr>
      <w:r w:rsidRPr="00EA27A3">
        <w:t>Skills Canberra is responsible for</w:t>
      </w:r>
      <w:r w:rsidR="0002242F">
        <w:t xml:space="preserve"> the</w:t>
      </w:r>
      <w:r w:rsidRPr="00EA27A3">
        <w:t xml:space="preserve"> </w:t>
      </w:r>
      <w:r w:rsidR="0024524E" w:rsidRPr="00EA27A3">
        <w:t>ACT’s</w:t>
      </w:r>
      <w:r w:rsidRPr="00EA27A3">
        <w:t xml:space="preserve"> implementation of the National Skills Agreement, a five-year joint agreement between the Commonwealth and states and territories to strengthen the VET sector, which commenced on 1 January 2024.</w:t>
      </w:r>
    </w:p>
    <w:p w14:paraId="138479BC" w14:textId="77777777" w:rsidR="00EA27A3" w:rsidRDefault="00EA27A3" w:rsidP="00EA27A3">
      <w:pPr>
        <w:spacing w:before="0" w:after="0"/>
        <w:rPr>
          <w:rFonts w:cs="Calibri"/>
          <w:szCs w:val="24"/>
        </w:rPr>
      </w:pPr>
    </w:p>
    <w:p w14:paraId="57FCE5DD" w14:textId="400827E9" w:rsidR="00372B31" w:rsidRPr="00681E86" w:rsidRDefault="0024524E" w:rsidP="00EA27A3">
      <w:pPr>
        <w:pStyle w:val="Heading2"/>
        <w:spacing w:before="0" w:after="0"/>
        <w:ind w:left="0" w:firstLine="0"/>
      </w:pPr>
      <w:bookmarkStart w:id="5" w:name="_Toc224126068"/>
      <w:bookmarkStart w:id="6" w:name="_Hlk15629368"/>
      <w:r>
        <w:t xml:space="preserve">ACT </w:t>
      </w:r>
      <w:r w:rsidR="00EA27A3">
        <w:t>VET</w:t>
      </w:r>
      <w:r>
        <w:t xml:space="preserve"> Completions Grants</w:t>
      </w:r>
      <w:r w:rsidR="00EA27A3">
        <w:t xml:space="preserve"> 2026</w:t>
      </w:r>
      <w:bookmarkEnd w:id="5"/>
    </w:p>
    <w:bookmarkEnd w:id="6"/>
    <w:p w14:paraId="4B06FF9C" w14:textId="53B3B635" w:rsidR="00EB22C3" w:rsidRDefault="00EB22C3" w:rsidP="00EA27A3">
      <w:pPr>
        <w:spacing w:before="0" w:after="0"/>
      </w:pPr>
      <w:r>
        <w:t xml:space="preserve">The </w:t>
      </w:r>
      <w:r w:rsidR="0024524E">
        <w:t xml:space="preserve">ACT </w:t>
      </w:r>
      <w:r w:rsidR="00EA27A3">
        <w:t xml:space="preserve">VET </w:t>
      </w:r>
      <w:r w:rsidR="0024524E">
        <w:t>Completions Grants</w:t>
      </w:r>
      <w:r w:rsidR="00985E50">
        <w:t xml:space="preserve"> </w:t>
      </w:r>
      <w:r w:rsidR="00EA27A3">
        <w:t xml:space="preserve">2026 (Grants Program) </w:t>
      </w:r>
      <w:r w:rsidR="009F4F86">
        <w:t xml:space="preserve">will </w:t>
      </w:r>
      <w:r w:rsidR="00C82C93">
        <w:t>enable</w:t>
      </w:r>
      <w:r w:rsidR="008A0DCD">
        <w:t xml:space="preserve"> eligible VET providers, employers and community organisations to deliver targeted supports for learners</w:t>
      </w:r>
      <w:r>
        <w:t>,</w:t>
      </w:r>
      <w:r w:rsidR="001E06AE">
        <w:t xml:space="preserve"> to assist them to successfully complete training and succeed in employment</w:t>
      </w:r>
      <w:r w:rsidR="00985E50">
        <w:t xml:space="preserve">. </w:t>
      </w:r>
    </w:p>
    <w:p w14:paraId="139E638D" w14:textId="77777777" w:rsidR="00EB22C3" w:rsidRDefault="00EB22C3" w:rsidP="00EA27A3">
      <w:pPr>
        <w:spacing w:before="0" w:after="0"/>
      </w:pPr>
    </w:p>
    <w:p w14:paraId="3125FCFA" w14:textId="3875A096" w:rsidR="008A0DCD" w:rsidRDefault="00985E50" w:rsidP="00EA27A3">
      <w:pPr>
        <w:spacing w:before="0" w:after="0"/>
      </w:pPr>
      <w:r>
        <w:t>It gives effect to commitments and priorities under</w:t>
      </w:r>
      <w:r w:rsidR="008A0DCD">
        <w:t xml:space="preserve"> the:</w:t>
      </w:r>
    </w:p>
    <w:p w14:paraId="1966BE64" w14:textId="4FE7C0A5" w:rsidR="008A0DCD" w:rsidRDefault="00985E50" w:rsidP="00EA27A3">
      <w:pPr>
        <w:pStyle w:val="Bullet1"/>
        <w:spacing w:before="0" w:after="0"/>
      </w:pPr>
      <w:hyperlink r:id="rId17" w:history="1">
        <w:r w:rsidRPr="00985E50">
          <w:rPr>
            <w:rStyle w:val="Hyperlink"/>
          </w:rPr>
          <w:t xml:space="preserve">Improved Completions – Especially for Priority Groups Bilateral Implementation Plan </w:t>
        </w:r>
        <w:r w:rsidR="008A0DCD" w:rsidRPr="00985E50">
          <w:rPr>
            <w:rStyle w:val="Hyperlink"/>
          </w:rPr>
          <w:t xml:space="preserve">2024–2028 </w:t>
        </w:r>
        <w:r w:rsidRPr="00985E50">
          <w:rPr>
            <w:rStyle w:val="Hyperlink"/>
          </w:rPr>
          <w:t xml:space="preserve">under the </w:t>
        </w:r>
        <w:r w:rsidR="008A0DCD" w:rsidRPr="00985E50">
          <w:rPr>
            <w:rStyle w:val="Hyperlink"/>
          </w:rPr>
          <w:t>National Skills Agreement</w:t>
        </w:r>
      </w:hyperlink>
    </w:p>
    <w:p w14:paraId="2D849C1C" w14:textId="5DA52735" w:rsidR="008A0DCD" w:rsidRDefault="008A0DCD" w:rsidP="00EA27A3">
      <w:pPr>
        <w:pStyle w:val="Bullet1"/>
        <w:spacing w:before="0" w:after="0"/>
      </w:pPr>
      <w:hyperlink r:id="rId18" w:history="1">
        <w:r w:rsidRPr="00985E50">
          <w:rPr>
            <w:rStyle w:val="Hyperlink"/>
          </w:rPr>
          <w:t>ACT Skills Action Plan 2024-28</w:t>
        </w:r>
      </w:hyperlink>
    </w:p>
    <w:p w14:paraId="15A2C551" w14:textId="2F92F43D" w:rsidR="008A0DCD" w:rsidRDefault="008A0DCD" w:rsidP="00EA27A3">
      <w:pPr>
        <w:pStyle w:val="Bullet1"/>
        <w:spacing w:before="0" w:after="0"/>
      </w:pPr>
      <w:hyperlink r:id="rId19" w:history="1">
        <w:r w:rsidRPr="00985E50">
          <w:rPr>
            <w:rStyle w:val="Hyperlink"/>
          </w:rPr>
          <w:t>Skilled to Succeed: Skills and Workforce Agenda for the ACT</w:t>
        </w:r>
      </w:hyperlink>
    </w:p>
    <w:p w14:paraId="207876BD" w14:textId="08D65712" w:rsidR="008A0DCD" w:rsidRDefault="008A0DCD" w:rsidP="00EA27A3">
      <w:pPr>
        <w:pStyle w:val="Bullet1"/>
        <w:spacing w:before="0" w:after="0"/>
      </w:pPr>
      <w:hyperlink r:id="rId20" w:history="1">
        <w:r w:rsidRPr="00334D1F">
          <w:rPr>
            <w:rStyle w:val="Hyperlink"/>
          </w:rPr>
          <w:t>CBR2030: ACT’s Strategic Economic Development Framework</w:t>
        </w:r>
      </w:hyperlink>
    </w:p>
    <w:p w14:paraId="0046C00A" w14:textId="49ADB0EA" w:rsidR="008A0DCD" w:rsidRDefault="008A0DCD" w:rsidP="00EA27A3">
      <w:pPr>
        <w:pStyle w:val="Bullet1"/>
        <w:spacing w:before="0" w:after="0"/>
      </w:pPr>
      <w:hyperlink r:id="rId21" w:history="1">
        <w:r w:rsidRPr="00334D1F">
          <w:rPr>
            <w:rStyle w:val="Hyperlink"/>
          </w:rPr>
          <w:t xml:space="preserve">National Agreement on Closing the Gap </w:t>
        </w:r>
      </w:hyperlink>
      <w:r>
        <w:t xml:space="preserve">and the </w:t>
      </w:r>
      <w:hyperlink r:id="rId22" w:history="1">
        <w:r w:rsidRPr="00334D1F">
          <w:rPr>
            <w:rStyle w:val="Hyperlink"/>
          </w:rPr>
          <w:t>ACT Aboriginal and Torres Strait Islander Agreement 2019–2028.</w:t>
        </w:r>
      </w:hyperlink>
    </w:p>
    <w:p w14:paraId="15D0555E" w14:textId="77777777" w:rsidR="00B575FC" w:rsidRDefault="00B575FC" w:rsidP="00EA27A3">
      <w:pPr>
        <w:pStyle w:val="Bullet1"/>
        <w:numPr>
          <w:ilvl w:val="0"/>
          <w:numId w:val="0"/>
        </w:numPr>
        <w:spacing w:before="0" w:after="0"/>
        <w:ind w:left="709"/>
      </w:pPr>
    </w:p>
    <w:p w14:paraId="54E6D09C" w14:textId="77777777" w:rsidR="000F270B" w:rsidRDefault="00EA27A3" w:rsidP="000F270B">
      <w:pPr>
        <w:pStyle w:val="Bullet1"/>
        <w:numPr>
          <w:ilvl w:val="0"/>
          <w:numId w:val="0"/>
        </w:numPr>
        <w:spacing w:before="0" w:after="0"/>
        <w:ind w:left="709"/>
      </w:pPr>
      <w:r>
        <w:t xml:space="preserve">The Grants Program </w:t>
      </w:r>
      <w:r w:rsidR="000F270B">
        <w:t>gives effect to</w:t>
      </w:r>
      <w:r w:rsidR="0024524E">
        <w:t xml:space="preserve"> the first action within the </w:t>
      </w:r>
      <w:hyperlink r:id="rId23" w:history="1">
        <w:r w:rsidR="0024524E" w:rsidRPr="00B53051">
          <w:rPr>
            <w:rStyle w:val="Hyperlink"/>
            <w:i/>
            <w:iCs/>
          </w:rPr>
          <w:t>Improved Completions – Especially for Priority Groups Bilateral Implementation Plan</w:t>
        </w:r>
      </w:hyperlink>
      <w:r w:rsidR="0024524E" w:rsidRPr="00B53051">
        <w:t xml:space="preserve"> (BIP) </w:t>
      </w:r>
      <w:r w:rsidR="0024524E">
        <w:t xml:space="preserve">under the National Skills Agreement. </w:t>
      </w:r>
    </w:p>
    <w:p w14:paraId="1A5B21FF" w14:textId="77777777" w:rsidR="000F270B" w:rsidRDefault="000F270B" w:rsidP="000F270B">
      <w:pPr>
        <w:pStyle w:val="Bullet1"/>
        <w:numPr>
          <w:ilvl w:val="0"/>
          <w:numId w:val="0"/>
        </w:numPr>
        <w:spacing w:before="0" w:after="0"/>
        <w:ind w:left="709"/>
      </w:pPr>
    </w:p>
    <w:p w14:paraId="519F5FE9" w14:textId="684E34CE" w:rsidR="0024524E" w:rsidRDefault="0002242F" w:rsidP="000F270B">
      <w:pPr>
        <w:pStyle w:val="Bullet1"/>
        <w:numPr>
          <w:ilvl w:val="0"/>
          <w:numId w:val="0"/>
        </w:numPr>
        <w:spacing w:before="0" w:after="0"/>
        <w:ind w:left="709"/>
      </w:pPr>
      <w:r>
        <w:t xml:space="preserve">Improved Completions </w:t>
      </w:r>
      <w:r w:rsidR="0024524E">
        <w:t xml:space="preserve">is a joint initiative </w:t>
      </w:r>
      <w:r>
        <w:t>between</w:t>
      </w:r>
      <w:r w:rsidR="0024524E">
        <w:t xml:space="preserve"> the Australian Government and ACT Government. </w:t>
      </w:r>
    </w:p>
    <w:p w14:paraId="679391BD" w14:textId="77777777" w:rsidR="0024524E" w:rsidRDefault="0024524E" w:rsidP="00EA27A3">
      <w:pPr>
        <w:pStyle w:val="Bullet1"/>
        <w:numPr>
          <w:ilvl w:val="0"/>
          <w:numId w:val="0"/>
        </w:numPr>
        <w:spacing w:before="0" w:after="0"/>
        <w:ind w:left="709"/>
      </w:pPr>
    </w:p>
    <w:p w14:paraId="1F275B81" w14:textId="15BFDC09" w:rsidR="00261E01" w:rsidRDefault="00261E01" w:rsidP="00EA27A3">
      <w:pPr>
        <w:pStyle w:val="Heading2"/>
        <w:spacing w:before="0" w:after="0"/>
        <w:ind w:left="0" w:firstLine="0"/>
      </w:pPr>
      <w:bookmarkStart w:id="7" w:name="_Toc224126069"/>
      <w:r w:rsidRPr="00261E01">
        <w:t>Introduction</w:t>
      </w:r>
      <w:bookmarkEnd w:id="7"/>
      <w:r w:rsidRPr="00261E01">
        <w:t xml:space="preserve"> </w:t>
      </w:r>
    </w:p>
    <w:p w14:paraId="3647FA47" w14:textId="3DD304C0" w:rsidR="008A0DCD" w:rsidRDefault="008A0DCD" w:rsidP="00EA27A3">
      <w:pPr>
        <w:spacing w:before="0" w:after="0"/>
      </w:pPr>
      <w:r>
        <w:t xml:space="preserve">These guidelines </w:t>
      </w:r>
      <w:r w:rsidR="00334D1F">
        <w:t xml:space="preserve">outline the objectives, outcomes, funding parameters and application requirements for interested organisations </w:t>
      </w:r>
      <w:r>
        <w:t>to apply for funding through the</w:t>
      </w:r>
      <w:r w:rsidR="00EA27A3">
        <w:t xml:space="preserve"> Grants Program</w:t>
      </w:r>
      <w:r>
        <w:t xml:space="preserve">. Eligible organisations can apply for up to $250,000 (GST exclusive) to deliver </w:t>
      </w:r>
      <w:r w:rsidRPr="00687926">
        <w:t>project</w:t>
      </w:r>
      <w:r w:rsidR="009F4F86" w:rsidRPr="00687926">
        <w:t>s</w:t>
      </w:r>
      <w:r w:rsidRPr="00687926">
        <w:t xml:space="preserve"> </w:t>
      </w:r>
      <w:r w:rsidR="00B66419" w:rsidRPr="00687926">
        <w:t>from August 2026 through to December 2027</w:t>
      </w:r>
      <w:r w:rsidRPr="00687926">
        <w:t>.</w:t>
      </w:r>
    </w:p>
    <w:p w14:paraId="1292A656" w14:textId="77777777" w:rsidR="00BB130B" w:rsidRDefault="00BB130B" w:rsidP="00EA27A3">
      <w:pPr>
        <w:spacing w:before="0" w:after="0"/>
      </w:pPr>
    </w:p>
    <w:p w14:paraId="7472AC9D" w14:textId="118BA987" w:rsidR="00BB130B" w:rsidRDefault="005F44AC" w:rsidP="00EA27A3">
      <w:pPr>
        <w:spacing w:before="0" w:after="0"/>
      </w:pPr>
      <w:r>
        <w:t xml:space="preserve">For the purposes of this Grants Program, “completions” refers to nationally </w:t>
      </w:r>
      <w:r w:rsidR="00222930">
        <w:t xml:space="preserve">recognised VET training including </w:t>
      </w:r>
      <w:r w:rsidR="00222930" w:rsidRPr="00222930">
        <w:t>accredited qualifications, training package skill sets and accredited courses</w:t>
      </w:r>
      <w:r>
        <w:t xml:space="preserve">, including </w:t>
      </w:r>
      <w:r w:rsidR="000F270B">
        <w:t>apprenticeships and traineeships</w:t>
      </w:r>
      <w:r>
        <w:t xml:space="preserve">. </w:t>
      </w:r>
    </w:p>
    <w:p w14:paraId="228C7D31" w14:textId="77777777" w:rsidR="00B140A7" w:rsidRDefault="00B140A7" w:rsidP="00EA27A3">
      <w:pPr>
        <w:spacing w:before="0" w:after="0"/>
      </w:pPr>
    </w:p>
    <w:p w14:paraId="4B2C4E40" w14:textId="77777777" w:rsidR="00D55DF7" w:rsidRPr="000A461D" w:rsidRDefault="00D55DF7" w:rsidP="004C39AB">
      <w:pPr>
        <w:pStyle w:val="Heading2"/>
        <w:spacing w:before="0" w:after="0"/>
        <w:ind w:left="0" w:firstLine="0"/>
      </w:pPr>
      <w:r w:rsidRPr="000A461D">
        <w:t>Acknowledgement of cultural load</w:t>
      </w:r>
    </w:p>
    <w:p w14:paraId="7DC2D7B8" w14:textId="77777777" w:rsidR="00D55DF7" w:rsidRDefault="00D55DF7" w:rsidP="00D55DF7">
      <w:pPr>
        <w:pStyle w:val="Bullet1"/>
        <w:numPr>
          <w:ilvl w:val="0"/>
          <w:numId w:val="0"/>
        </w:numPr>
        <w:spacing w:before="0" w:after="0"/>
        <w:ind w:left="709"/>
      </w:pPr>
      <w:r w:rsidRPr="00ED2190">
        <w:t xml:space="preserve">In designing and delivering projects under this </w:t>
      </w:r>
      <w:r>
        <w:t xml:space="preserve">Grants </w:t>
      </w:r>
      <w:r w:rsidRPr="00ED2190">
        <w:t xml:space="preserve">Program, it is important to be mindful of cultural load. Activities involving consultation, engagement, cultural advice, </w:t>
      </w:r>
      <w:r w:rsidRPr="00ED2190">
        <w:lastRenderedPageBreak/>
        <w:t>reporting and evaluation can create cumulative demands on Aboriginal and Torres Strait Islander staff and organisations if not carefully planned and resourced. The ACT Government recognises its responsibility to mitigate this through early planning, shared responsibility, appropriate resourcing and flexible implementation.</w:t>
      </w:r>
    </w:p>
    <w:p w14:paraId="023EF530" w14:textId="77777777" w:rsidR="00EB22C3" w:rsidRPr="00B140A7" w:rsidRDefault="00EB22C3" w:rsidP="00D55DF7">
      <w:pPr>
        <w:pStyle w:val="Bullet1"/>
        <w:numPr>
          <w:ilvl w:val="0"/>
          <w:numId w:val="0"/>
        </w:numPr>
        <w:spacing w:before="0" w:after="0"/>
        <w:ind w:left="709"/>
      </w:pPr>
    </w:p>
    <w:p w14:paraId="2A626A3E" w14:textId="77777777" w:rsidR="003A4BF9" w:rsidRPr="00681E86" w:rsidRDefault="003A4BF9" w:rsidP="00EA27A3">
      <w:pPr>
        <w:pStyle w:val="Heading1"/>
        <w:spacing w:before="0" w:after="0"/>
      </w:pPr>
      <w:bookmarkStart w:id="8" w:name="_Toc224126070"/>
      <w:r w:rsidRPr="00681E86">
        <w:t>P</w:t>
      </w:r>
      <w:r w:rsidR="00CB22A5" w:rsidRPr="00681E86">
        <w:t>rimary Objective</w:t>
      </w:r>
      <w:bookmarkEnd w:id="8"/>
    </w:p>
    <w:p w14:paraId="3F2D759E" w14:textId="77777777" w:rsidR="00EB22C3" w:rsidRDefault="00EB22C3" w:rsidP="005F44AC">
      <w:pPr>
        <w:spacing w:before="0" w:after="0"/>
      </w:pPr>
    </w:p>
    <w:p w14:paraId="71A834FB" w14:textId="57A563A0" w:rsidR="008A0DCD" w:rsidRDefault="005F44AC" w:rsidP="005F44AC">
      <w:pPr>
        <w:spacing w:before="0" w:after="0"/>
        <w:rPr>
          <w:szCs w:val="22"/>
        </w:rPr>
      </w:pPr>
      <w:r w:rsidRPr="005F44AC">
        <w:t xml:space="preserve">The Grants Program aims to fund projects that assist learners from priority </w:t>
      </w:r>
      <w:r w:rsidR="0029248D">
        <w:t>group</w:t>
      </w:r>
      <w:r w:rsidRPr="005F44AC">
        <w:t>s to complete accredited VET qualifications or courses and move into sustainable employment.</w:t>
      </w:r>
      <w:r>
        <w:t xml:space="preserve"> </w:t>
      </w:r>
    </w:p>
    <w:p w14:paraId="6DA929EA" w14:textId="77777777" w:rsidR="008A0DCD" w:rsidRDefault="008A0DCD" w:rsidP="00EA27A3">
      <w:pPr>
        <w:spacing w:before="0" w:after="0"/>
      </w:pPr>
    </w:p>
    <w:p w14:paraId="0C367670" w14:textId="7EEBD7B3" w:rsidR="00D1788F" w:rsidRDefault="005F44AC" w:rsidP="00EA27A3">
      <w:pPr>
        <w:spacing w:before="0" w:after="0"/>
      </w:pPr>
      <w:r>
        <w:t>P</w:t>
      </w:r>
      <w:r w:rsidR="00D1788F">
        <w:t xml:space="preserve">riority </w:t>
      </w:r>
      <w:r w:rsidR="0029248D">
        <w:t>group</w:t>
      </w:r>
      <w:r w:rsidR="00D1788F">
        <w:t>s</w:t>
      </w:r>
      <w:r w:rsidR="008A0DCD">
        <w:t xml:space="preserve"> include</w:t>
      </w:r>
      <w:r w:rsidR="00D1788F">
        <w:t xml:space="preserve">: </w:t>
      </w:r>
    </w:p>
    <w:p w14:paraId="52926D73" w14:textId="6B54C860" w:rsidR="004470C9" w:rsidRDefault="004470C9" w:rsidP="00EA27A3">
      <w:pPr>
        <w:pStyle w:val="Bullet1"/>
        <w:spacing w:before="0" w:after="0"/>
      </w:pPr>
      <w:r>
        <w:t>Aboriginal and Torres Strait Islander people</w:t>
      </w:r>
      <w:r w:rsidR="003B15C2">
        <w:t>;</w:t>
      </w:r>
      <w:r>
        <w:t xml:space="preserve"> </w:t>
      </w:r>
    </w:p>
    <w:p w14:paraId="23178EAA" w14:textId="63C526A1" w:rsidR="00D1788F" w:rsidRDefault="003B15C2" w:rsidP="00EA27A3">
      <w:pPr>
        <w:pStyle w:val="Bullet1"/>
        <w:spacing w:before="0" w:after="0"/>
      </w:pPr>
      <w:r>
        <w:t>w</w:t>
      </w:r>
      <w:r w:rsidR="00D1788F">
        <w:t>omen</w:t>
      </w:r>
      <w:r>
        <w:t>;</w:t>
      </w:r>
    </w:p>
    <w:p w14:paraId="0F255B20" w14:textId="1D67C9C1" w:rsidR="00791909" w:rsidRDefault="003B15C2" w:rsidP="00EA27A3">
      <w:pPr>
        <w:pStyle w:val="Bullet1"/>
        <w:spacing w:before="0" w:after="0"/>
      </w:pPr>
      <w:r>
        <w:t>p</w:t>
      </w:r>
      <w:r w:rsidR="00791909">
        <w:t>eople with disability</w:t>
      </w:r>
      <w:r>
        <w:t>;</w:t>
      </w:r>
    </w:p>
    <w:p w14:paraId="0929E19D" w14:textId="31B3ADBB" w:rsidR="00D1788F" w:rsidRDefault="003B15C2" w:rsidP="00EA27A3">
      <w:pPr>
        <w:pStyle w:val="Bullet1"/>
        <w:spacing w:before="0" w:after="0"/>
      </w:pPr>
      <w:r>
        <w:t>y</w:t>
      </w:r>
      <w:r w:rsidR="00D1788F">
        <w:t>oung people</w:t>
      </w:r>
      <w:r>
        <w:t>;</w:t>
      </w:r>
      <w:r w:rsidR="00D1788F">
        <w:t xml:space="preserve"> </w:t>
      </w:r>
    </w:p>
    <w:p w14:paraId="5609358F" w14:textId="499BB918" w:rsidR="00D1788F" w:rsidRDefault="003B15C2" w:rsidP="00EA27A3">
      <w:pPr>
        <w:pStyle w:val="Bullet1"/>
        <w:spacing w:before="0" w:after="0"/>
      </w:pPr>
      <w:r>
        <w:t>p</w:t>
      </w:r>
      <w:r w:rsidR="008A0DCD">
        <w:t>eople</w:t>
      </w:r>
      <w:r w:rsidR="00D1788F">
        <w:t xml:space="preserve"> experiencing long-term unemployment</w:t>
      </w:r>
      <w:r>
        <w:t>;</w:t>
      </w:r>
    </w:p>
    <w:p w14:paraId="3A589AD9" w14:textId="7618A349" w:rsidR="00D1788F" w:rsidRDefault="003B15C2" w:rsidP="00EA27A3">
      <w:pPr>
        <w:pStyle w:val="Bullet1"/>
        <w:spacing w:before="0" w:after="0"/>
      </w:pPr>
      <w:r>
        <w:t>p</w:t>
      </w:r>
      <w:r w:rsidR="00D1788F">
        <w:t>eople from culturally and linguistically diverse communities</w:t>
      </w:r>
      <w:r w:rsidR="00334D1F">
        <w:t>, and</w:t>
      </w:r>
      <w:r w:rsidR="00D1788F">
        <w:t xml:space="preserve"> </w:t>
      </w:r>
    </w:p>
    <w:p w14:paraId="0B962C3F" w14:textId="2A3D11FF" w:rsidR="00791909" w:rsidRDefault="003B15C2" w:rsidP="00EA27A3">
      <w:pPr>
        <w:pStyle w:val="Bullet1"/>
        <w:spacing w:before="0" w:after="0"/>
      </w:pPr>
      <w:r>
        <w:t>m</w:t>
      </w:r>
      <w:r w:rsidR="00791909">
        <w:t>ature age Australians</w:t>
      </w:r>
      <w:r w:rsidR="00334D1F">
        <w:t>.</w:t>
      </w:r>
      <w:r w:rsidR="00791909">
        <w:t xml:space="preserve"> </w:t>
      </w:r>
    </w:p>
    <w:p w14:paraId="298DC81C" w14:textId="77777777" w:rsidR="00445A42" w:rsidRDefault="00445A42" w:rsidP="00445A42">
      <w:pPr>
        <w:pStyle w:val="Bullet1"/>
        <w:numPr>
          <w:ilvl w:val="0"/>
          <w:numId w:val="0"/>
        </w:numPr>
        <w:spacing w:before="0" w:after="0"/>
        <w:ind w:left="1069"/>
      </w:pPr>
    </w:p>
    <w:p w14:paraId="0EE3F600" w14:textId="386F622C" w:rsidR="003A4BF9" w:rsidRPr="00445A42" w:rsidRDefault="003A4BF9" w:rsidP="00EA27A3">
      <w:pPr>
        <w:pStyle w:val="Heading1"/>
        <w:spacing w:before="0" w:after="0"/>
      </w:pPr>
      <w:bookmarkStart w:id="9" w:name="_Toc224126071"/>
      <w:r w:rsidRPr="00445A42">
        <w:t>O</w:t>
      </w:r>
      <w:r w:rsidR="00CB22A5" w:rsidRPr="00445A42">
        <w:t>utcomes</w:t>
      </w:r>
      <w:bookmarkEnd w:id="9"/>
    </w:p>
    <w:p w14:paraId="6C42B1D4" w14:textId="0AB480AF" w:rsidR="002404B5" w:rsidRDefault="00EB22C3" w:rsidP="00EA27A3">
      <w:pPr>
        <w:spacing w:before="0" w:after="0"/>
      </w:pPr>
      <w:bookmarkStart w:id="10" w:name="_Hlk222318193"/>
      <w:r>
        <w:br/>
      </w:r>
      <w:r w:rsidR="002404B5">
        <w:t xml:space="preserve">Funded projects </w:t>
      </w:r>
      <w:r w:rsidR="00222930">
        <w:t xml:space="preserve">will </w:t>
      </w:r>
      <w:r w:rsidR="002404B5" w:rsidRPr="008602D4">
        <w:t xml:space="preserve">contribute to one or more of the following outcomes, consistent with the </w:t>
      </w:r>
      <w:hyperlink r:id="rId24" w:history="1">
        <w:r w:rsidR="002404B5" w:rsidRPr="00222930">
          <w:rPr>
            <w:rStyle w:val="Hyperlink"/>
            <w:color w:val="000000" w:themeColor="text1"/>
          </w:rPr>
          <w:t xml:space="preserve">National VET Completions </w:t>
        </w:r>
        <w:r w:rsidR="00222930" w:rsidRPr="00222930">
          <w:rPr>
            <w:rStyle w:val="Hyperlink"/>
            <w:color w:val="000000" w:themeColor="text1"/>
          </w:rPr>
          <w:t>R</w:t>
        </w:r>
        <w:r w:rsidR="002404B5" w:rsidRPr="00222930">
          <w:rPr>
            <w:rStyle w:val="Hyperlink"/>
            <w:color w:val="000000" w:themeColor="text1"/>
          </w:rPr>
          <w:t>eport</w:t>
        </w:r>
      </w:hyperlink>
      <w:r w:rsidR="002404B5" w:rsidRPr="00222930">
        <w:rPr>
          <w:color w:val="000000" w:themeColor="text1"/>
        </w:rPr>
        <w:t>:</w:t>
      </w:r>
      <w:r>
        <w:rPr>
          <w:color w:val="000000" w:themeColor="text1"/>
        </w:rPr>
        <w:br/>
      </w:r>
    </w:p>
    <w:p w14:paraId="55ACF31F" w14:textId="159B6CE6" w:rsidR="002404B5" w:rsidRDefault="008A50D6" w:rsidP="00EA27A3">
      <w:pPr>
        <w:pStyle w:val="ListParagraph"/>
        <w:numPr>
          <w:ilvl w:val="0"/>
          <w:numId w:val="28"/>
        </w:numPr>
        <w:spacing w:before="0" w:after="0"/>
      </w:pPr>
      <w:r>
        <w:t>i</w:t>
      </w:r>
      <w:r w:rsidR="002404B5">
        <w:t>mproved</w:t>
      </w:r>
      <w:r w:rsidR="0001410F">
        <w:t xml:space="preserve"> learner</w:t>
      </w:r>
      <w:r w:rsidR="002404B5">
        <w:t xml:space="preserve"> engagement, retention and completion through timely, tailored </w:t>
      </w:r>
      <w:r w:rsidR="0001410F">
        <w:t xml:space="preserve">supports addressing </w:t>
      </w:r>
      <w:r w:rsidR="002404B5">
        <w:t>personal, academic, cultural,</w:t>
      </w:r>
      <w:r w:rsidR="00E55D04">
        <w:t xml:space="preserve"> linguistic,</w:t>
      </w:r>
      <w:r w:rsidR="002404B5">
        <w:t xml:space="preserve"> </w:t>
      </w:r>
      <w:r w:rsidR="0001410F">
        <w:t xml:space="preserve">social </w:t>
      </w:r>
      <w:r w:rsidR="002404B5">
        <w:t xml:space="preserve">and </w:t>
      </w:r>
      <w:r w:rsidR="00EB22C3">
        <w:t xml:space="preserve">other </w:t>
      </w:r>
      <w:r w:rsidR="002404B5">
        <w:t>barriers</w:t>
      </w:r>
      <w:r>
        <w:t>;</w:t>
      </w:r>
    </w:p>
    <w:p w14:paraId="66F7D5AF" w14:textId="723EABB1" w:rsidR="002404B5" w:rsidRDefault="008A50D6" w:rsidP="00EA27A3">
      <w:pPr>
        <w:pStyle w:val="ListParagraph"/>
        <w:numPr>
          <w:ilvl w:val="0"/>
          <w:numId w:val="28"/>
        </w:numPr>
        <w:spacing w:before="0" w:after="0"/>
      </w:pPr>
      <w:r>
        <w:t>e</w:t>
      </w:r>
      <w:r w:rsidR="002404B5">
        <w:t>nhanced cultural safety and participation for Aboriginal and Torres Strait Islander learners through community</w:t>
      </w:r>
      <w:r w:rsidR="002404B5" w:rsidRPr="002404B5">
        <w:rPr>
          <w:rFonts w:ascii="Cambria Math" w:hAnsi="Cambria Math" w:cs="Cambria Math"/>
        </w:rPr>
        <w:t>‑</w:t>
      </w:r>
      <w:r w:rsidR="002404B5">
        <w:t>led, culturally grounded approaches</w:t>
      </w:r>
      <w:r>
        <w:t>;</w:t>
      </w:r>
    </w:p>
    <w:p w14:paraId="4CCD8A38" w14:textId="06AD6815" w:rsidR="002404B5" w:rsidRDefault="008A50D6" w:rsidP="00EA27A3">
      <w:pPr>
        <w:pStyle w:val="ListParagraph"/>
        <w:numPr>
          <w:ilvl w:val="0"/>
          <w:numId w:val="28"/>
        </w:numPr>
        <w:spacing w:before="0" w:after="0"/>
      </w:pPr>
      <w:r>
        <w:t>h</w:t>
      </w:r>
      <w:r w:rsidR="002404B5">
        <w:t>igher</w:t>
      </w:r>
      <w:r w:rsidR="002404B5" w:rsidRPr="002404B5">
        <w:rPr>
          <w:rFonts w:ascii="Cambria Math" w:hAnsi="Cambria Math" w:cs="Cambria Math"/>
        </w:rPr>
        <w:t>‑</w:t>
      </w:r>
      <w:r w:rsidR="002404B5">
        <w:t>quality and better</w:t>
      </w:r>
      <w:r w:rsidR="002404B5" w:rsidRPr="002404B5">
        <w:rPr>
          <w:rFonts w:ascii="Cambria Math" w:hAnsi="Cambria Math" w:cs="Cambria Math"/>
        </w:rPr>
        <w:t>‑</w:t>
      </w:r>
      <w:r w:rsidR="002404B5">
        <w:t>aligned enrolment</w:t>
      </w:r>
      <w:r w:rsidR="0001410F">
        <w:t xml:space="preserve"> </w:t>
      </w:r>
      <w:r w:rsidR="002404B5">
        <w:t xml:space="preserve">pathways that match learner goals, capabilities </w:t>
      </w:r>
      <w:r w:rsidR="00EB22C3">
        <w:t xml:space="preserve">with </w:t>
      </w:r>
      <w:r w:rsidR="002404B5">
        <w:t>labour</w:t>
      </w:r>
      <w:r w:rsidR="002404B5" w:rsidRPr="002404B5">
        <w:rPr>
          <w:rFonts w:ascii="Cambria Math" w:hAnsi="Cambria Math" w:cs="Cambria Math"/>
        </w:rPr>
        <w:t>‑</w:t>
      </w:r>
      <w:r w:rsidR="002404B5">
        <w:t>market opportunities</w:t>
      </w:r>
      <w:r>
        <w:t>;</w:t>
      </w:r>
    </w:p>
    <w:p w14:paraId="043C528D" w14:textId="69D2E198" w:rsidR="002404B5" w:rsidRDefault="008A50D6" w:rsidP="00EA27A3">
      <w:pPr>
        <w:pStyle w:val="ListParagraph"/>
        <w:numPr>
          <w:ilvl w:val="0"/>
          <w:numId w:val="28"/>
        </w:numPr>
        <w:spacing w:before="0" w:after="0"/>
      </w:pPr>
      <w:r>
        <w:t>e</w:t>
      </w:r>
      <w:r w:rsidR="002404B5">
        <w:t>arlier identification and</w:t>
      </w:r>
      <w:r w:rsidR="0001410F">
        <w:t xml:space="preserve"> appropriate</w:t>
      </w:r>
      <w:r w:rsidR="002404B5">
        <w:t xml:space="preserve"> intervention for learners </w:t>
      </w:r>
      <w:r w:rsidR="001E06AE">
        <w:t>facing difficulties</w:t>
      </w:r>
      <w:r w:rsidR="0029248D">
        <w:t xml:space="preserve"> in continuing or completing their training</w:t>
      </w:r>
      <w:r w:rsidR="002404B5">
        <w:t>, reducing withdrawals and supporting re</w:t>
      </w:r>
      <w:r w:rsidR="002404B5" w:rsidRPr="002404B5">
        <w:rPr>
          <w:rFonts w:ascii="Cambria Math" w:hAnsi="Cambria Math" w:cs="Cambria Math"/>
        </w:rPr>
        <w:t>‑</w:t>
      </w:r>
      <w:r w:rsidR="002404B5">
        <w:t>engagement or constructive transitions</w:t>
      </w:r>
      <w:r>
        <w:t>;</w:t>
      </w:r>
    </w:p>
    <w:p w14:paraId="19379449" w14:textId="79887200" w:rsidR="002404B5" w:rsidRDefault="008A50D6" w:rsidP="00EA27A3">
      <w:pPr>
        <w:pStyle w:val="ListParagraph"/>
        <w:numPr>
          <w:ilvl w:val="0"/>
          <w:numId w:val="28"/>
        </w:numPr>
        <w:spacing w:before="0" w:after="0"/>
      </w:pPr>
      <w:r>
        <w:t>s</w:t>
      </w:r>
      <w:r w:rsidR="002404B5">
        <w:t>upportive</w:t>
      </w:r>
      <w:r w:rsidR="0001410F">
        <w:t xml:space="preserve"> and </w:t>
      </w:r>
      <w:r w:rsidR="002404B5">
        <w:t xml:space="preserve">effective training </w:t>
      </w:r>
      <w:r w:rsidR="00D532BA">
        <w:t xml:space="preserve">and workplace </w:t>
      </w:r>
      <w:r w:rsidR="002404B5">
        <w:t>environments, strengthened by improved employer–RTO–learner relationships, supervision, mentoring and inclusive practices</w:t>
      </w:r>
      <w:r>
        <w:t>;</w:t>
      </w:r>
    </w:p>
    <w:p w14:paraId="64727DCC" w14:textId="58C31A30" w:rsidR="00DE08A4" w:rsidRDefault="008A50D6" w:rsidP="00EA27A3">
      <w:pPr>
        <w:pStyle w:val="ListParagraph"/>
        <w:numPr>
          <w:ilvl w:val="0"/>
          <w:numId w:val="28"/>
        </w:numPr>
        <w:spacing w:before="0" w:after="0"/>
      </w:pPr>
      <w:r>
        <w:t>f</w:t>
      </w:r>
      <w:r w:rsidR="002404B5">
        <w:t xml:space="preserve">lexible, accessible delivery models </w:t>
      </w:r>
      <w:r w:rsidR="0029248D">
        <w:t xml:space="preserve">focused on learners, </w:t>
      </w:r>
      <w:r w:rsidR="002404B5">
        <w:t xml:space="preserve">that </w:t>
      </w:r>
      <w:r w:rsidR="0001410F">
        <w:t xml:space="preserve">actively </w:t>
      </w:r>
      <w:r w:rsidR="002404B5">
        <w:t>reduce barriers and increase participation</w:t>
      </w:r>
      <w:r>
        <w:t>; and</w:t>
      </w:r>
    </w:p>
    <w:p w14:paraId="19A70933" w14:textId="77777777" w:rsidR="00A72ECF" w:rsidRDefault="008A50D6" w:rsidP="00445A42">
      <w:pPr>
        <w:pStyle w:val="ListParagraph"/>
        <w:numPr>
          <w:ilvl w:val="0"/>
          <w:numId w:val="28"/>
        </w:numPr>
        <w:spacing w:before="0" w:after="0"/>
      </w:pPr>
      <w:r>
        <w:t>s</w:t>
      </w:r>
      <w:r w:rsidR="00DE08A4">
        <w:t>ystemic improvements that address root causes of low completion rates and create long</w:t>
      </w:r>
      <w:r w:rsidR="00DE08A4">
        <w:rPr>
          <w:rFonts w:ascii="Cambria Math" w:hAnsi="Cambria Math" w:cs="Cambria Math"/>
        </w:rPr>
        <w:t>‑</w:t>
      </w:r>
      <w:r w:rsidR="00DE08A4">
        <w:t>term change.</w:t>
      </w:r>
    </w:p>
    <w:p w14:paraId="16F2E4B7" w14:textId="455EA672" w:rsidR="002404B5" w:rsidRDefault="002404B5" w:rsidP="00A72ECF">
      <w:pPr>
        <w:spacing w:before="0" w:after="0"/>
        <w:ind w:left="0"/>
      </w:pPr>
    </w:p>
    <w:p w14:paraId="70A47315" w14:textId="3F8D577E" w:rsidR="003343E9" w:rsidRDefault="00A72ECF" w:rsidP="00EA27A3">
      <w:pPr>
        <w:spacing w:before="0" w:after="0"/>
      </w:pPr>
      <w:r>
        <w:t>In addition, f</w:t>
      </w:r>
      <w:r w:rsidR="003343E9">
        <w:t>unded projects wi</w:t>
      </w:r>
      <w:r>
        <w:t>ll</w:t>
      </w:r>
      <w:r w:rsidR="003343E9">
        <w:t>:</w:t>
      </w:r>
      <w:r w:rsidR="00EB22C3">
        <w:br/>
      </w:r>
    </w:p>
    <w:p w14:paraId="1ADD6072" w14:textId="4FD08DFC" w:rsidR="003343E9" w:rsidRDefault="008A50D6" w:rsidP="00EA27A3">
      <w:pPr>
        <w:pStyle w:val="ListParagraph"/>
        <w:numPr>
          <w:ilvl w:val="0"/>
          <w:numId w:val="28"/>
        </w:numPr>
        <w:spacing w:before="0" w:after="0"/>
      </w:pPr>
      <w:r>
        <w:t>s</w:t>
      </w:r>
      <w:r w:rsidR="003343E9">
        <w:t xml:space="preserve">trengthen transitions </w:t>
      </w:r>
      <w:r w:rsidR="00EB22C3">
        <w:t xml:space="preserve">to </w:t>
      </w:r>
      <w:r w:rsidR="003343E9">
        <w:t>support learners secure sustainable employment aligned to their skills and career goals</w:t>
      </w:r>
      <w:r w:rsidR="00A72ECF">
        <w:t>; and</w:t>
      </w:r>
    </w:p>
    <w:p w14:paraId="21CBB66E" w14:textId="666DC1F2" w:rsidR="00A72ECF" w:rsidRDefault="00A72ECF" w:rsidP="00A72ECF">
      <w:pPr>
        <w:pStyle w:val="ListParagraph"/>
        <w:numPr>
          <w:ilvl w:val="0"/>
          <w:numId w:val="28"/>
        </w:numPr>
        <w:spacing w:before="0" w:after="0"/>
      </w:pPr>
      <w:r>
        <w:t>s</w:t>
      </w:r>
      <w:r w:rsidRPr="00222930">
        <w:t xml:space="preserve">trengthen </w:t>
      </w:r>
      <w:r w:rsidR="00EB22C3">
        <w:t xml:space="preserve">understanding to inform future initiatives </w:t>
      </w:r>
      <w:r w:rsidR="00EB22C3" w:rsidRPr="00222930">
        <w:t xml:space="preserve">aimed at improving VET completion rates for priority </w:t>
      </w:r>
      <w:r w:rsidR="00EB22C3">
        <w:t>groups</w:t>
      </w:r>
      <w:r w:rsidRPr="00222930">
        <w:t>.</w:t>
      </w:r>
    </w:p>
    <w:p w14:paraId="74887F13" w14:textId="77777777" w:rsidR="00445A42" w:rsidRDefault="00445A42" w:rsidP="00445A42">
      <w:pPr>
        <w:pStyle w:val="ListParagraph"/>
        <w:spacing w:before="0" w:after="0"/>
        <w:ind w:left="1069"/>
      </w:pPr>
    </w:p>
    <w:p w14:paraId="2C5427C5" w14:textId="741A9C36" w:rsidR="00222930" w:rsidRPr="00222930" w:rsidRDefault="004F7AE9" w:rsidP="00A72ECF">
      <w:pPr>
        <w:pStyle w:val="Heading1"/>
        <w:spacing w:before="0" w:after="0"/>
      </w:pPr>
      <w:bookmarkStart w:id="11" w:name="_Toc224126072"/>
      <w:bookmarkStart w:id="12" w:name="_Hlk15544311"/>
      <w:bookmarkEnd w:id="10"/>
      <w:r w:rsidRPr="00681E86">
        <w:lastRenderedPageBreak/>
        <w:t xml:space="preserve">Funding </w:t>
      </w:r>
      <w:r w:rsidRPr="00D056EC">
        <w:t>Parameters</w:t>
      </w:r>
      <w:bookmarkEnd w:id="11"/>
    </w:p>
    <w:bookmarkEnd w:id="12"/>
    <w:p w14:paraId="2F8F27C4" w14:textId="11501E82" w:rsidR="00E20BB6" w:rsidRPr="00E20BB6" w:rsidRDefault="00E20BB6" w:rsidP="005D6215">
      <w:pPr>
        <w:numPr>
          <w:ilvl w:val="0"/>
          <w:numId w:val="6"/>
        </w:numPr>
        <w:spacing w:before="0" w:after="0"/>
        <w:ind w:left="1134" w:hanging="425"/>
        <w:rPr>
          <w:rFonts w:cs="Calibri"/>
          <w:szCs w:val="24"/>
        </w:rPr>
      </w:pPr>
      <w:r w:rsidRPr="00E20BB6">
        <w:rPr>
          <w:rFonts w:cs="Calibri"/>
          <w:szCs w:val="24"/>
        </w:rPr>
        <w:t>Maximum funding per application</w:t>
      </w:r>
      <w:r w:rsidR="0001410F">
        <w:rPr>
          <w:rFonts w:cs="Calibri"/>
          <w:szCs w:val="24"/>
        </w:rPr>
        <w:t xml:space="preserve"> is </w:t>
      </w:r>
      <w:r w:rsidRPr="008602D4">
        <w:rPr>
          <w:rFonts w:cs="Calibri"/>
          <w:szCs w:val="24"/>
        </w:rPr>
        <w:t>$250,000 (GST exclusive).</w:t>
      </w:r>
      <w:r w:rsidRPr="00E20BB6">
        <w:rPr>
          <w:rFonts w:cs="Calibri"/>
          <w:szCs w:val="24"/>
        </w:rPr>
        <w:t xml:space="preserve"> No minimum applies.</w:t>
      </w:r>
    </w:p>
    <w:p w14:paraId="21F54D31" w14:textId="07ECF41B" w:rsidR="00E20BB6" w:rsidRPr="00E20BB6" w:rsidRDefault="00E20BB6" w:rsidP="005D6215">
      <w:pPr>
        <w:numPr>
          <w:ilvl w:val="0"/>
          <w:numId w:val="6"/>
        </w:numPr>
        <w:spacing w:before="0" w:after="0"/>
        <w:ind w:left="1134" w:hanging="425"/>
        <w:rPr>
          <w:rFonts w:cs="Calibri"/>
          <w:szCs w:val="24"/>
        </w:rPr>
      </w:pPr>
      <w:r w:rsidRPr="00E20BB6">
        <w:rPr>
          <w:rFonts w:cs="Calibri"/>
          <w:szCs w:val="24"/>
        </w:rPr>
        <w:t xml:space="preserve">Projects must commence by </w:t>
      </w:r>
      <w:r w:rsidR="0001410F" w:rsidRPr="00687926">
        <w:rPr>
          <w:rFonts w:cs="Calibri"/>
          <w:szCs w:val="24"/>
        </w:rPr>
        <w:t xml:space="preserve">August </w:t>
      </w:r>
      <w:r w:rsidRPr="00687926">
        <w:rPr>
          <w:rFonts w:cs="Calibri"/>
          <w:szCs w:val="24"/>
        </w:rPr>
        <w:t>2026 and be completed by 3</w:t>
      </w:r>
      <w:r w:rsidR="008602D4" w:rsidRPr="00687926">
        <w:rPr>
          <w:rFonts w:cs="Calibri"/>
          <w:szCs w:val="24"/>
        </w:rPr>
        <w:t>1</w:t>
      </w:r>
      <w:r w:rsidRPr="00687926">
        <w:rPr>
          <w:rFonts w:cs="Calibri"/>
          <w:szCs w:val="24"/>
        </w:rPr>
        <w:t xml:space="preserve"> </w:t>
      </w:r>
      <w:r w:rsidR="008602D4" w:rsidRPr="00687926">
        <w:rPr>
          <w:rFonts w:cs="Calibri"/>
          <w:szCs w:val="24"/>
        </w:rPr>
        <w:t>December</w:t>
      </w:r>
      <w:r w:rsidRPr="00687926">
        <w:rPr>
          <w:rFonts w:cs="Calibri"/>
          <w:szCs w:val="24"/>
        </w:rPr>
        <w:t xml:space="preserve"> 2027.</w:t>
      </w:r>
    </w:p>
    <w:p w14:paraId="5A9F131C" w14:textId="77777777" w:rsidR="00E20BB6" w:rsidRPr="00E20BB6" w:rsidRDefault="00E20BB6" w:rsidP="005D6215">
      <w:pPr>
        <w:numPr>
          <w:ilvl w:val="0"/>
          <w:numId w:val="6"/>
        </w:numPr>
        <w:spacing w:before="0" w:after="0"/>
        <w:ind w:left="1134" w:hanging="425"/>
        <w:rPr>
          <w:rFonts w:cs="Calibri"/>
          <w:szCs w:val="24"/>
        </w:rPr>
      </w:pPr>
      <w:r w:rsidRPr="00E20BB6">
        <w:rPr>
          <w:rFonts w:cs="Calibri"/>
          <w:szCs w:val="24"/>
        </w:rPr>
        <w:t>Applications must demonstrate value for money and a strong return on investment relative to expected outcomes.</w:t>
      </w:r>
    </w:p>
    <w:p w14:paraId="23AD0FDC" w14:textId="271F40F2" w:rsidR="00E20BB6" w:rsidRDefault="00E20BB6" w:rsidP="005D6215">
      <w:pPr>
        <w:numPr>
          <w:ilvl w:val="0"/>
          <w:numId w:val="6"/>
        </w:numPr>
        <w:spacing w:before="0" w:after="0"/>
        <w:ind w:left="1134" w:hanging="425"/>
        <w:rPr>
          <w:rFonts w:cs="Calibri"/>
          <w:szCs w:val="24"/>
        </w:rPr>
      </w:pPr>
      <w:r w:rsidRPr="00E20BB6">
        <w:rPr>
          <w:rFonts w:cs="Calibri"/>
          <w:szCs w:val="24"/>
        </w:rPr>
        <w:t xml:space="preserve">Projects </w:t>
      </w:r>
      <w:r w:rsidRPr="008602D4">
        <w:rPr>
          <w:rFonts w:cs="Calibri"/>
          <w:szCs w:val="24"/>
        </w:rPr>
        <w:t>must involve identified partnerships</w:t>
      </w:r>
      <w:r w:rsidRPr="00E20BB6">
        <w:rPr>
          <w:rFonts w:cs="Calibri"/>
          <w:szCs w:val="24"/>
        </w:rPr>
        <w:t xml:space="preserve"> with employers, industry bodies, education providers, community organisations and/or group training organisations.</w:t>
      </w:r>
      <w:r w:rsidR="0001410F">
        <w:rPr>
          <w:rFonts w:cs="Calibri"/>
          <w:szCs w:val="24"/>
        </w:rPr>
        <w:t xml:space="preserve"> Letters confirming specific partnership arrangements must be included with the application.</w:t>
      </w:r>
    </w:p>
    <w:p w14:paraId="083D8374" w14:textId="2415AEA7" w:rsidR="009170C7" w:rsidRDefault="009170C7" w:rsidP="005D6215">
      <w:pPr>
        <w:numPr>
          <w:ilvl w:val="0"/>
          <w:numId w:val="6"/>
        </w:numPr>
        <w:spacing w:before="0" w:after="0"/>
        <w:ind w:left="1134" w:hanging="425"/>
        <w:rPr>
          <w:rFonts w:cs="Calibri"/>
          <w:szCs w:val="24"/>
        </w:rPr>
      </w:pPr>
      <w:r w:rsidRPr="009170C7">
        <w:rPr>
          <w:rFonts w:cs="Calibri"/>
          <w:szCs w:val="24"/>
        </w:rPr>
        <w:t>A range of partnership and delivery models will be appropriate, including community</w:t>
      </w:r>
      <w:r w:rsidRPr="009170C7">
        <w:rPr>
          <w:rFonts w:ascii="Cambria Math" w:hAnsi="Cambria Math" w:cs="Cambria Math"/>
          <w:szCs w:val="24"/>
        </w:rPr>
        <w:t>‑</w:t>
      </w:r>
      <w:r w:rsidRPr="009170C7">
        <w:rPr>
          <w:rFonts w:cs="Calibri"/>
          <w:szCs w:val="24"/>
        </w:rPr>
        <w:t>led and ACCO</w:t>
      </w:r>
      <w:r w:rsidRPr="009170C7">
        <w:rPr>
          <w:rFonts w:ascii="Cambria Math" w:hAnsi="Cambria Math" w:cs="Cambria Math"/>
          <w:szCs w:val="24"/>
        </w:rPr>
        <w:t>‑</w:t>
      </w:r>
      <w:r w:rsidRPr="009170C7">
        <w:rPr>
          <w:rFonts w:cs="Calibri"/>
          <w:szCs w:val="24"/>
        </w:rPr>
        <w:t>driven approaches where relevant. Partnerships do not need to reflect mainstream or traditional employer</w:t>
      </w:r>
      <w:r w:rsidRPr="009170C7">
        <w:rPr>
          <w:rFonts w:ascii="Cambria Math" w:hAnsi="Cambria Math" w:cs="Cambria Math"/>
          <w:szCs w:val="24"/>
        </w:rPr>
        <w:t>‑</w:t>
      </w:r>
      <w:r w:rsidRPr="009170C7">
        <w:rPr>
          <w:rFonts w:cs="Calibri"/>
          <w:szCs w:val="24"/>
        </w:rPr>
        <w:t>led structures to be considered effective, provided they demonstrate genuine collaboration, cultural integrity where relevant, and alignment with identified learner and community priorities.</w:t>
      </w:r>
    </w:p>
    <w:p w14:paraId="3ECEDBAD" w14:textId="137175FF" w:rsidR="00FB0BEE" w:rsidRPr="00E20BB6" w:rsidRDefault="00FB0BEE" w:rsidP="005D6215">
      <w:pPr>
        <w:numPr>
          <w:ilvl w:val="0"/>
          <w:numId w:val="6"/>
        </w:numPr>
        <w:spacing w:before="0" w:after="0"/>
        <w:ind w:left="1134" w:hanging="425"/>
        <w:rPr>
          <w:rFonts w:cs="Calibri"/>
          <w:szCs w:val="24"/>
        </w:rPr>
      </w:pPr>
      <w:r w:rsidRPr="00FB0BEE">
        <w:rPr>
          <w:rFonts w:cs="Calibri"/>
          <w:szCs w:val="24"/>
        </w:rPr>
        <w:t>Applications that include structured engagement with employers</w:t>
      </w:r>
      <w:r>
        <w:rPr>
          <w:rFonts w:cs="Calibri"/>
          <w:szCs w:val="24"/>
        </w:rPr>
        <w:t>,</w:t>
      </w:r>
      <w:r w:rsidRPr="00FB0BEE">
        <w:rPr>
          <w:rFonts w:cs="Calibri"/>
          <w:szCs w:val="24"/>
        </w:rPr>
        <w:t xml:space="preserve"> </w:t>
      </w:r>
      <w:r>
        <w:rPr>
          <w:rFonts w:cs="Calibri"/>
          <w:szCs w:val="24"/>
        </w:rPr>
        <w:t>including to</w:t>
      </w:r>
      <w:r w:rsidRPr="00FB0BEE">
        <w:rPr>
          <w:rFonts w:cs="Calibri"/>
          <w:szCs w:val="24"/>
        </w:rPr>
        <w:t xml:space="preserve"> support supervision capability, safe workplaces, or consistent mentoring practices</w:t>
      </w:r>
      <w:r>
        <w:rPr>
          <w:rFonts w:cs="Calibri"/>
          <w:szCs w:val="24"/>
        </w:rPr>
        <w:t xml:space="preserve">, </w:t>
      </w:r>
      <w:r w:rsidRPr="00FB0BEE">
        <w:rPr>
          <w:rFonts w:cs="Calibri"/>
          <w:szCs w:val="24"/>
        </w:rPr>
        <w:t>are encouraged.</w:t>
      </w:r>
    </w:p>
    <w:p w14:paraId="414639F9" w14:textId="3C6643B6" w:rsidR="00E20BB6" w:rsidRPr="00E20BB6" w:rsidRDefault="00DF1E5C" w:rsidP="005D6215">
      <w:pPr>
        <w:numPr>
          <w:ilvl w:val="0"/>
          <w:numId w:val="6"/>
        </w:numPr>
        <w:spacing w:before="0" w:after="0"/>
        <w:ind w:left="1134" w:hanging="425"/>
        <w:rPr>
          <w:rFonts w:cs="Calibri"/>
          <w:szCs w:val="24"/>
        </w:rPr>
      </w:pPr>
      <w:r>
        <w:rPr>
          <w:rFonts w:cs="Calibri"/>
          <w:szCs w:val="24"/>
        </w:rPr>
        <w:t xml:space="preserve">Contributions from partners </w:t>
      </w:r>
      <w:r w:rsidR="00E20BB6" w:rsidRPr="00E20BB6">
        <w:rPr>
          <w:rFonts w:cs="Calibri"/>
          <w:szCs w:val="24"/>
        </w:rPr>
        <w:t>(</w:t>
      </w:r>
      <w:r w:rsidR="00E20BB6">
        <w:rPr>
          <w:rFonts w:cs="Calibri"/>
          <w:szCs w:val="24"/>
        </w:rPr>
        <w:t>financial</w:t>
      </w:r>
      <w:r w:rsidR="00E20BB6" w:rsidRPr="00E20BB6">
        <w:rPr>
          <w:rFonts w:cs="Calibri"/>
          <w:szCs w:val="24"/>
        </w:rPr>
        <w:t xml:space="preserve"> and/or in</w:t>
      </w:r>
      <w:r w:rsidR="00E20BB6" w:rsidRPr="00E20BB6">
        <w:rPr>
          <w:rFonts w:ascii="Cambria Math" w:hAnsi="Cambria Math" w:cs="Cambria Math"/>
          <w:szCs w:val="24"/>
        </w:rPr>
        <w:t>‑</w:t>
      </w:r>
      <w:r w:rsidR="00E20BB6" w:rsidRPr="00E20BB6">
        <w:rPr>
          <w:rFonts w:cs="Calibri"/>
          <w:szCs w:val="24"/>
        </w:rPr>
        <w:t>kind)</w:t>
      </w:r>
      <w:r w:rsidR="0001410F">
        <w:rPr>
          <w:rFonts w:cs="Calibri"/>
          <w:szCs w:val="24"/>
        </w:rPr>
        <w:t xml:space="preserve"> </w:t>
      </w:r>
      <w:r>
        <w:rPr>
          <w:rFonts w:cs="Calibri"/>
          <w:szCs w:val="24"/>
        </w:rPr>
        <w:t xml:space="preserve">are encouraged </w:t>
      </w:r>
      <w:r w:rsidR="0001410F">
        <w:rPr>
          <w:rFonts w:cs="Calibri"/>
          <w:szCs w:val="24"/>
        </w:rPr>
        <w:t>and will strengthen</w:t>
      </w:r>
      <w:r w:rsidR="00C62A1F">
        <w:rPr>
          <w:rFonts w:cs="Calibri"/>
          <w:szCs w:val="24"/>
        </w:rPr>
        <w:t xml:space="preserve"> the assessment of</w:t>
      </w:r>
      <w:r w:rsidR="0001410F">
        <w:rPr>
          <w:rFonts w:cs="Calibri"/>
          <w:szCs w:val="24"/>
        </w:rPr>
        <w:t xml:space="preserve"> an application</w:t>
      </w:r>
      <w:r w:rsidR="00E20BB6" w:rsidRPr="00E20BB6">
        <w:rPr>
          <w:rFonts w:cs="Calibri"/>
          <w:szCs w:val="24"/>
        </w:rPr>
        <w:t>. Any in</w:t>
      </w:r>
      <w:r w:rsidR="00E20BB6" w:rsidRPr="00E20BB6">
        <w:rPr>
          <w:rFonts w:ascii="Cambria Math" w:hAnsi="Cambria Math" w:cs="Cambria Math"/>
          <w:szCs w:val="24"/>
        </w:rPr>
        <w:t>‑</w:t>
      </w:r>
      <w:r w:rsidR="00E20BB6" w:rsidRPr="00E20BB6">
        <w:rPr>
          <w:rFonts w:cs="Calibri"/>
          <w:szCs w:val="24"/>
        </w:rPr>
        <w:t>kind commitment must be itemised in the application.</w:t>
      </w:r>
    </w:p>
    <w:p w14:paraId="48606CCE" w14:textId="65DB1904" w:rsidR="00445A42" w:rsidRPr="00445A42" w:rsidRDefault="00E20BB6" w:rsidP="005D6215">
      <w:pPr>
        <w:numPr>
          <w:ilvl w:val="0"/>
          <w:numId w:val="6"/>
        </w:numPr>
        <w:spacing w:before="0" w:after="0"/>
        <w:ind w:left="1134" w:hanging="425"/>
        <w:rPr>
          <w:rFonts w:cs="Calibri"/>
          <w:szCs w:val="24"/>
        </w:rPr>
      </w:pPr>
      <w:r w:rsidRPr="00E20BB6">
        <w:rPr>
          <w:rFonts w:cs="Calibri"/>
          <w:szCs w:val="24"/>
        </w:rPr>
        <w:t>Applicants must disclose any other ACT or Australian Government funding contributing to the project.</w:t>
      </w:r>
    </w:p>
    <w:p w14:paraId="39157959" w14:textId="76E30421" w:rsidR="00445A42" w:rsidRDefault="00445A42" w:rsidP="005D6215">
      <w:pPr>
        <w:numPr>
          <w:ilvl w:val="0"/>
          <w:numId w:val="6"/>
        </w:numPr>
        <w:spacing w:before="0" w:after="0"/>
        <w:ind w:left="1134" w:hanging="425"/>
        <w:rPr>
          <w:rFonts w:cs="Calibri"/>
          <w:szCs w:val="24"/>
        </w:rPr>
      </w:pPr>
      <w:r w:rsidRPr="00445A42">
        <w:rPr>
          <w:rFonts w:cs="Calibri"/>
          <w:szCs w:val="24"/>
        </w:rPr>
        <w:t xml:space="preserve">Funding is limited and awarded via a competitive assessment process. </w:t>
      </w:r>
      <w:r w:rsidR="008E12BE">
        <w:rPr>
          <w:rFonts w:cs="Calibri"/>
          <w:szCs w:val="24"/>
        </w:rPr>
        <w:t>An Evaluation Panel will assess a</w:t>
      </w:r>
      <w:r w:rsidRPr="00445A42">
        <w:rPr>
          <w:rFonts w:cs="Calibri"/>
          <w:szCs w:val="24"/>
        </w:rPr>
        <w:t xml:space="preserve">pplications </w:t>
      </w:r>
      <w:r w:rsidR="008E12BE">
        <w:rPr>
          <w:rFonts w:cs="Calibri"/>
          <w:szCs w:val="24"/>
        </w:rPr>
        <w:t xml:space="preserve">on relative merit, </w:t>
      </w:r>
      <w:r w:rsidRPr="00445A42">
        <w:rPr>
          <w:rFonts w:cs="Calibri"/>
          <w:szCs w:val="24"/>
        </w:rPr>
        <w:t>in accordance with the assessment criteria, and grant funding should not be deemed automatic or anticipated</w:t>
      </w:r>
      <w:r w:rsidR="008E12BE">
        <w:rPr>
          <w:rFonts w:cs="Calibri"/>
          <w:szCs w:val="24"/>
        </w:rPr>
        <w:t>.</w:t>
      </w:r>
    </w:p>
    <w:p w14:paraId="3A33E299" w14:textId="765BD461" w:rsidR="00B84D0C" w:rsidRDefault="00B84D0C" w:rsidP="005D6215">
      <w:pPr>
        <w:numPr>
          <w:ilvl w:val="0"/>
          <w:numId w:val="6"/>
        </w:numPr>
        <w:spacing w:before="0" w:after="0"/>
        <w:ind w:left="1134" w:hanging="425"/>
        <w:rPr>
          <w:rFonts w:cs="Calibri"/>
          <w:szCs w:val="24"/>
        </w:rPr>
      </w:pPr>
      <w:r>
        <w:rPr>
          <w:rFonts w:cs="Calibri"/>
          <w:szCs w:val="24"/>
        </w:rPr>
        <w:t>T</w:t>
      </w:r>
      <w:r w:rsidRPr="00B84D0C">
        <w:rPr>
          <w:rFonts w:cs="Calibri"/>
          <w:szCs w:val="24"/>
        </w:rPr>
        <w:t xml:space="preserve">he </w:t>
      </w:r>
      <w:r w:rsidR="00A72ECF">
        <w:rPr>
          <w:rFonts w:cs="Calibri"/>
          <w:szCs w:val="24"/>
        </w:rPr>
        <w:t>D</w:t>
      </w:r>
      <w:r w:rsidRPr="00B84D0C">
        <w:rPr>
          <w:rFonts w:cs="Calibri"/>
          <w:szCs w:val="24"/>
        </w:rPr>
        <w:t>elegate may determine, based on the recommendations of the evaluation</w:t>
      </w:r>
      <w:r w:rsidR="0001410F">
        <w:rPr>
          <w:rFonts w:cs="Calibri"/>
          <w:szCs w:val="24"/>
        </w:rPr>
        <w:t>,</w:t>
      </w:r>
      <w:r w:rsidRPr="00B84D0C">
        <w:rPr>
          <w:rFonts w:cs="Calibri"/>
          <w:szCs w:val="24"/>
        </w:rPr>
        <w:t xml:space="preserve"> a funding amount for a successful project. This amount may vary from the total amount of funding sought in the application.</w:t>
      </w:r>
    </w:p>
    <w:p w14:paraId="36141858" w14:textId="6F4E8297" w:rsidR="00D96E4D" w:rsidRPr="00D96E4D" w:rsidRDefault="00B84D0C" w:rsidP="005D6215">
      <w:pPr>
        <w:numPr>
          <w:ilvl w:val="0"/>
          <w:numId w:val="6"/>
        </w:numPr>
        <w:spacing w:before="0" w:after="0"/>
        <w:ind w:left="1134" w:hanging="425"/>
        <w:rPr>
          <w:rFonts w:cs="Calibri"/>
          <w:szCs w:val="24"/>
        </w:rPr>
      </w:pPr>
      <w:r>
        <w:rPr>
          <w:rFonts w:cs="Calibri"/>
          <w:szCs w:val="24"/>
        </w:rPr>
        <w:t>A</w:t>
      </w:r>
      <w:r w:rsidRPr="00B84D0C">
        <w:rPr>
          <w:rFonts w:cs="Calibri"/>
          <w:szCs w:val="24"/>
        </w:rPr>
        <w:t xml:space="preserve">djustments to the </w:t>
      </w:r>
      <w:r w:rsidR="00A72ECF">
        <w:rPr>
          <w:rFonts w:cs="Calibri"/>
          <w:szCs w:val="24"/>
        </w:rPr>
        <w:t>Evaluation P</w:t>
      </w:r>
      <w:r w:rsidRPr="00B84D0C">
        <w:rPr>
          <w:rFonts w:cs="Calibri"/>
          <w:szCs w:val="24"/>
        </w:rPr>
        <w:t>anel’s recommended funding amount may be considered during the negotiation phase</w:t>
      </w:r>
      <w:r w:rsidR="0001410F">
        <w:rPr>
          <w:rFonts w:cs="Calibri"/>
          <w:szCs w:val="24"/>
        </w:rPr>
        <w:t>,</w:t>
      </w:r>
      <w:r w:rsidRPr="00B84D0C">
        <w:rPr>
          <w:rFonts w:cs="Calibri"/>
          <w:szCs w:val="24"/>
        </w:rPr>
        <w:t xml:space="preserve"> if required. The final funding amount is subject to approval by the </w:t>
      </w:r>
      <w:r w:rsidR="00A72ECF">
        <w:rPr>
          <w:rFonts w:cs="Calibri"/>
          <w:szCs w:val="24"/>
        </w:rPr>
        <w:t>D</w:t>
      </w:r>
      <w:r w:rsidRPr="00B84D0C">
        <w:rPr>
          <w:rFonts w:cs="Calibri"/>
          <w:szCs w:val="24"/>
        </w:rPr>
        <w:t>elegate.</w:t>
      </w:r>
    </w:p>
    <w:p w14:paraId="0D97A88F" w14:textId="17284EF9" w:rsidR="005D6215" w:rsidRDefault="00752674" w:rsidP="005D6215">
      <w:pPr>
        <w:numPr>
          <w:ilvl w:val="0"/>
          <w:numId w:val="6"/>
        </w:numPr>
        <w:spacing w:before="0" w:after="0"/>
        <w:ind w:left="1134" w:hanging="425"/>
        <w:rPr>
          <w:rFonts w:cs="Calibri"/>
          <w:szCs w:val="24"/>
        </w:rPr>
      </w:pPr>
      <w:r w:rsidRPr="00752674">
        <w:rPr>
          <w:rFonts w:cs="Calibri"/>
          <w:szCs w:val="24"/>
        </w:rPr>
        <w:t xml:space="preserve">The ACT Government may establish additional funding rounds under this </w:t>
      </w:r>
      <w:r w:rsidR="005D6215">
        <w:rPr>
          <w:rFonts w:cs="Calibri"/>
          <w:szCs w:val="24"/>
        </w:rPr>
        <w:t>Grant</w:t>
      </w:r>
      <w:r w:rsidR="000F270B">
        <w:rPr>
          <w:rFonts w:cs="Calibri"/>
          <w:szCs w:val="24"/>
        </w:rPr>
        <w:t>s</w:t>
      </w:r>
      <w:r w:rsidR="005D6215">
        <w:rPr>
          <w:rFonts w:cs="Calibri"/>
          <w:szCs w:val="24"/>
        </w:rPr>
        <w:t xml:space="preserve"> </w:t>
      </w:r>
      <w:r w:rsidRPr="00752674">
        <w:rPr>
          <w:rFonts w:cs="Calibri"/>
          <w:szCs w:val="24"/>
        </w:rPr>
        <w:t>Program. Future rounds may focus on continuing, expanding or scaling projects funded under Round 1</w:t>
      </w:r>
      <w:r w:rsidR="00A72ECF">
        <w:rPr>
          <w:rFonts w:cs="Calibri"/>
          <w:szCs w:val="24"/>
        </w:rPr>
        <w:t xml:space="preserve">. This </w:t>
      </w:r>
      <w:r w:rsidRPr="00752674">
        <w:rPr>
          <w:rFonts w:cs="Calibri"/>
          <w:szCs w:val="24"/>
        </w:rPr>
        <w:t>may include separate funding streams that are restricted to Round 1 recipients or open to new applicants, depending on program priorities.</w:t>
      </w:r>
      <w:r w:rsidR="005D6215">
        <w:rPr>
          <w:rFonts w:cs="Calibri"/>
          <w:szCs w:val="24"/>
        </w:rPr>
        <w:t xml:space="preserve"> </w:t>
      </w:r>
    </w:p>
    <w:p w14:paraId="0AC8FA6B" w14:textId="1E17AEBF" w:rsidR="00752674" w:rsidRDefault="00752674" w:rsidP="005D6215">
      <w:pPr>
        <w:numPr>
          <w:ilvl w:val="0"/>
          <w:numId w:val="6"/>
        </w:numPr>
        <w:spacing w:before="0" w:after="0"/>
        <w:ind w:left="1134" w:hanging="425"/>
        <w:rPr>
          <w:rFonts w:cs="Calibri"/>
          <w:szCs w:val="24"/>
        </w:rPr>
      </w:pPr>
      <w:r w:rsidRPr="00752674">
        <w:rPr>
          <w:rFonts w:cs="Calibri"/>
          <w:szCs w:val="24"/>
        </w:rPr>
        <w:t>All applicants</w:t>
      </w:r>
      <w:r>
        <w:rPr>
          <w:rFonts w:cs="Calibri"/>
          <w:szCs w:val="24"/>
        </w:rPr>
        <w:t xml:space="preserve">, </w:t>
      </w:r>
      <w:r w:rsidRPr="00752674">
        <w:rPr>
          <w:rFonts w:cs="Calibri"/>
          <w:szCs w:val="24"/>
        </w:rPr>
        <w:t>new or returning</w:t>
      </w:r>
      <w:r>
        <w:rPr>
          <w:rFonts w:cs="Calibri"/>
          <w:szCs w:val="24"/>
        </w:rPr>
        <w:t xml:space="preserve">, </w:t>
      </w:r>
      <w:r w:rsidRPr="00752674">
        <w:rPr>
          <w:rFonts w:cs="Calibri"/>
          <w:szCs w:val="24"/>
        </w:rPr>
        <w:t>will be subject to the eligibility requirements and assessment criteria set for any future round. Receipt of funding in Round 1 does not guarantee further funding.</w:t>
      </w:r>
    </w:p>
    <w:p w14:paraId="51E81492" w14:textId="77777777" w:rsidR="00A72ECF" w:rsidRPr="00A72ECF" w:rsidRDefault="00A72ECF" w:rsidP="00A72ECF">
      <w:pPr>
        <w:numPr>
          <w:ilvl w:val="0"/>
          <w:numId w:val="6"/>
        </w:numPr>
        <w:spacing w:before="0" w:after="0"/>
        <w:ind w:left="1134" w:hanging="425"/>
        <w:rPr>
          <w:rFonts w:cs="Calibri"/>
          <w:szCs w:val="24"/>
        </w:rPr>
      </w:pPr>
      <w:r w:rsidRPr="00A72ECF">
        <w:rPr>
          <w:rFonts w:cs="Calibri"/>
          <w:szCs w:val="24"/>
        </w:rPr>
        <w:t>This is a new Grants Program. These guidelines supersede all terms and conditions contained in all previous Skills Canberra grants program guidelines.</w:t>
      </w:r>
    </w:p>
    <w:p w14:paraId="3CDD3A03" w14:textId="77777777" w:rsidR="00445A42" w:rsidRPr="00B84D0C" w:rsidRDefault="00445A42" w:rsidP="00A72ECF">
      <w:pPr>
        <w:spacing w:before="0" w:after="0"/>
        <w:ind w:left="0"/>
        <w:jc w:val="both"/>
        <w:rPr>
          <w:rFonts w:cs="Calibri"/>
          <w:szCs w:val="24"/>
        </w:rPr>
      </w:pPr>
    </w:p>
    <w:p w14:paraId="3C77C4AD" w14:textId="5BAA2A62" w:rsidR="005D6215" w:rsidRDefault="00D056EC" w:rsidP="005D6215">
      <w:pPr>
        <w:pStyle w:val="Heading1"/>
        <w:spacing w:before="0" w:after="0"/>
      </w:pPr>
      <w:bookmarkStart w:id="13" w:name="_Toc224126073"/>
      <w:r w:rsidRPr="00D056EC">
        <w:t>Eligibility</w:t>
      </w:r>
      <w:r w:rsidRPr="00681E86">
        <w:t xml:space="preserve"> </w:t>
      </w:r>
      <w:r w:rsidRPr="007D506F">
        <w:t>requirement</w:t>
      </w:r>
      <w:r w:rsidR="000F653A" w:rsidRPr="007D506F">
        <w:t>s</w:t>
      </w:r>
      <w:bookmarkEnd w:id="13"/>
    </w:p>
    <w:p w14:paraId="7A145F97" w14:textId="77777777" w:rsidR="005D6215" w:rsidRPr="005D6215" w:rsidRDefault="005D6215" w:rsidP="005D6215">
      <w:pPr>
        <w:spacing w:before="0" w:after="0"/>
        <w:ind w:left="0"/>
      </w:pPr>
    </w:p>
    <w:p w14:paraId="5647E349" w14:textId="01034D4F" w:rsidR="00D3047B" w:rsidRDefault="00E3486B" w:rsidP="00EA27A3">
      <w:pPr>
        <w:pStyle w:val="Heading2"/>
        <w:spacing w:before="0" w:after="0"/>
      </w:pPr>
      <w:bookmarkStart w:id="14" w:name="_Toc224126074"/>
      <w:bookmarkStart w:id="15" w:name="_Hlk15629841"/>
      <w:bookmarkStart w:id="16" w:name="_Hlk15544843"/>
      <w:r>
        <w:t>Applicant</w:t>
      </w:r>
      <w:r w:rsidR="00D3047B" w:rsidRPr="00681E86">
        <w:t xml:space="preserve"> </w:t>
      </w:r>
      <w:r w:rsidR="00707D2B" w:rsidRPr="00681E86">
        <w:t>e</w:t>
      </w:r>
      <w:r w:rsidR="00D3047B" w:rsidRPr="00681E86">
        <w:t>ligibility</w:t>
      </w:r>
      <w:bookmarkEnd w:id="14"/>
    </w:p>
    <w:p w14:paraId="6D3FC9CB" w14:textId="731160AF" w:rsidR="00E3486B" w:rsidRDefault="00E20BB6" w:rsidP="00EA27A3">
      <w:pPr>
        <w:spacing w:before="0" w:after="0"/>
        <w:ind w:left="567"/>
      </w:pPr>
      <w:r>
        <w:t>The following organisations are eligible to apply</w:t>
      </w:r>
      <w:r w:rsidR="00E3486B">
        <w:t>:</w:t>
      </w:r>
    </w:p>
    <w:p w14:paraId="5DAD6ABD" w14:textId="147CEFB3" w:rsidR="00B759AB" w:rsidRDefault="003B15C2" w:rsidP="00EA27A3">
      <w:pPr>
        <w:pStyle w:val="Bullet1"/>
        <w:spacing w:before="0" w:after="0"/>
      </w:pPr>
      <w:r>
        <w:t>e</w:t>
      </w:r>
      <w:r w:rsidR="00B759AB">
        <w:t xml:space="preserve">ducation and training providers or other organisations with training as a key focus of their business including </w:t>
      </w:r>
      <w:r w:rsidR="00362B40">
        <w:t>r</w:t>
      </w:r>
      <w:r w:rsidR="00B759AB">
        <w:t xml:space="preserve">egistered </w:t>
      </w:r>
      <w:r w:rsidR="00362B40">
        <w:t>t</w:t>
      </w:r>
      <w:r w:rsidR="00B759AB">
        <w:t xml:space="preserve">raining </w:t>
      </w:r>
      <w:r w:rsidR="00362B40">
        <w:t>o</w:t>
      </w:r>
      <w:r w:rsidR="00B759AB">
        <w:t>rganisations</w:t>
      </w:r>
      <w:r w:rsidR="00AC3489">
        <w:t xml:space="preserve"> (RTOs)</w:t>
      </w:r>
      <w:r w:rsidR="00526623">
        <w:t>;</w:t>
      </w:r>
    </w:p>
    <w:p w14:paraId="2B9EC120" w14:textId="43602EEE" w:rsidR="00B759AB" w:rsidRDefault="00362B40" w:rsidP="00EA27A3">
      <w:pPr>
        <w:pStyle w:val="Bullet1"/>
        <w:spacing w:before="0" w:after="0"/>
      </w:pPr>
      <w:r>
        <w:t>g</w:t>
      </w:r>
      <w:r w:rsidR="00B759AB">
        <w:t xml:space="preserve">roup </w:t>
      </w:r>
      <w:r>
        <w:t>t</w:t>
      </w:r>
      <w:r w:rsidR="00B759AB">
        <w:t xml:space="preserve">raining </w:t>
      </w:r>
      <w:r>
        <w:t>o</w:t>
      </w:r>
      <w:r w:rsidR="00B759AB">
        <w:t>rganisations</w:t>
      </w:r>
      <w:r w:rsidR="00526623">
        <w:t>;</w:t>
      </w:r>
    </w:p>
    <w:p w14:paraId="3DB33140" w14:textId="77EE76BE" w:rsidR="004470C9" w:rsidRDefault="003B15C2" w:rsidP="00EA27A3">
      <w:pPr>
        <w:pStyle w:val="Bullet1"/>
        <w:spacing w:before="0" w:after="0"/>
      </w:pPr>
      <w:r>
        <w:t>c</w:t>
      </w:r>
      <w:r w:rsidR="00B759AB">
        <w:t>ommunity organisations</w:t>
      </w:r>
      <w:r w:rsidR="00526623">
        <w:t>;</w:t>
      </w:r>
    </w:p>
    <w:p w14:paraId="423A9CD3" w14:textId="60F9AEE3" w:rsidR="00B759AB" w:rsidRDefault="003B15C2" w:rsidP="00EA27A3">
      <w:pPr>
        <w:pStyle w:val="Bullet1"/>
        <w:spacing w:before="0" w:after="0"/>
      </w:pPr>
      <w:r>
        <w:lastRenderedPageBreak/>
        <w:t>i</w:t>
      </w:r>
      <w:r w:rsidR="00B759AB">
        <w:t>ndustry associations</w:t>
      </w:r>
      <w:r w:rsidR="00526623">
        <w:t>;</w:t>
      </w:r>
    </w:p>
    <w:p w14:paraId="5D9F21F1" w14:textId="3D954EDC" w:rsidR="00B759AB" w:rsidRDefault="003B15C2" w:rsidP="00EA27A3">
      <w:pPr>
        <w:pStyle w:val="Bullet1"/>
        <w:spacing w:before="0" w:after="0"/>
      </w:pPr>
      <w:r>
        <w:t>e</w:t>
      </w:r>
      <w:r w:rsidR="00B759AB">
        <w:t>mployers</w:t>
      </w:r>
      <w:r w:rsidR="00526623">
        <w:t>;</w:t>
      </w:r>
    </w:p>
    <w:p w14:paraId="3B18892A" w14:textId="6C33E67D" w:rsidR="00E23920" w:rsidRDefault="00E23920" w:rsidP="00EA27A3">
      <w:pPr>
        <w:pStyle w:val="Bullet1"/>
        <w:spacing w:before="0" w:after="0"/>
      </w:pPr>
      <w:r>
        <w:t xml:space="preserve">Aboriginal </w:t>
      </w:r>
      <w:r w:rsidR="0001410F">
        <w:t>C</w:t>
      </w:r>
      <w:r>
        <w:t>ommunity-</w:t>
      </w:r>
      <w:r w:rsidR="0001410F">
        <w:t>C</w:t>
      </w:r>
      <w:r>
        <w:t xml:space="preserve">ontrolled </w:t>
      </w:r>
      <w:r w:rsidR="0001410F">
        <w:t>O</w:t>
      </w:r>
      <w:r>
        <w:t>rganisations (ACCOs)</w:t>
      </w:r>
      <w:r w:rsidR="00E20BB6">
        <w:t>*</w:t>
      </w:r>
      <w:r w:rsidR="0086043C">
        <w:t xml:space="preserve"> </w:t>
      </w:r>
      <w:r w:rsidR="0086043C" w:rsidRPr="0086043C">
        <w:t>as per Clause 44 of the National Agreement on Closing the Gap</w:t>
      </w:r>
      <w:r w:rsidR="00526623">
        <w:t>;</w:t>
      </w:r>
      <w:r w:rsidR="0001410F">
        <w:t xml:space="preserve"> and</w:t>
      </w:r>
    </w:p>
    <w:p w14:paraId="13BD7413" w14:textId="772DDB6D" w:rsidR="000F5798" w:rsidRDefault="000F5798" w:rsidP="00EA27A3">
      <w:pPr>
        <w:pStyle w:val="Bullet1"/>
        <w:spacing w:before="0" w:after="0"/>
      </w:pPr>
      <w:r>
        <w:t>ACCOs and First Nations Owned Organisations (FNO) RTOs</w:t>
      </w:r>
      <w:r w:rsidR="00526623">
        <w:t>.</w:t>
      </w:r>
      <w:r w:rsidR="00E20BB6">
        <w:t>*</w:t>
      </w:r>
    </w:p>
    <w:p w14:paraId="26694464" w14:textId="77777777" w:rsidR="0060395E" w:rsidRDefault="0060395E" w:rsidP="00EA27A3">
      <w:pPr>
        <w:pStyle w:val="Bullet1"/>
        <w:numPr>
          <w:ilvl w:val="0"/>
          <w:numId w:val="0"/>
        </w:numPr>
        <w:spacing w:before="0" w:after="0"/>
      </w:pPr>
    </w:p>
    <w:p w14:paraId="10829735" w14:textId="66D66FA8" w:rsidR="00E3486B" w:rsidRDefault="00E20BB6" w:rsidP="00EA27A3">
      <w:pPr>
        <w:spacing w:before="0" w:after="0"/>
        <w:ind w:left="567"/>
      </w:pPr>
      <w:r>
        <w:t>To be eligible</w:t>
      </w:r>
      <w:r w:rsidR="0001410F">
        <w:t>,</w:t>
      </w:r>
      <w:r>
        <w:t xml:space="preserve"> the </w:t>
      </w:r>
      <w:r w:rsidR="00362B40">
        <w:t>o</w:t>
      </w:r>
      <w:r>
        <w:t>rganisation must also</w:t>
      </w:r>
      <w:r w:rsidR="00E3486B">
        <w:t>:</w:t>
      </w:r>
    </w:p>
    <w:p w14:paraId="0B2DF20A" w14:textId="77777777" w:rsidR="00E20BB6" w:rsidRDefault="00E20BB6" w:rsidP="00EA27A3">
      <w:pPr>
        <w:pStyle w:val="ListParagraph"/>
        <w:numPr>
          <w:ilvl w:val="0"/>
          <w:numId w:val="21"/>
        </w:numPr>
        <w:spacing w:before="0" w:after="0"/>
      </w:pPr>
      <w:r>
        <w:t>deliver programs within the ACT;</w:t>
      </w:r>
    </w:p>
    <w:p w14:paraId="7CAB1709" w14:textId="77777777" w:rsidR="00E20BB6" w:rsidRDefault="00E20BB6" w:rsidP="00EA27A3">
      <w:pPr>
        <w:pStyle w:val="ListParagraph"/>
        <w:numPr>
          <w:ilvl w:val="0"/>
          <w:numId w:val="21"/>
        </w:numPr>
        <w:spacing w:before="0" w:after="0"/>
      </w:pPr>
      <w:r>
        <w:t>hold Public Liability Insurance of at least $10,000,000;</w:t>
      </w:r>
    </w:p>
    <w:p w14:paraId="4A9FB752" w14:textId="77777777" w:rsidR="00E20BB6" w:rsidRDefault="00E20BB6" w:rsidP="00EA27A3">
      <w:pPr>
        <w:pStyle w:val="ListParagraph"/>
        <w:numPr>
          <w:ilvl w:val="0"/>
          <w:numId w:val="21"/>
        </w:numPr>
        <w:spacing w:before="0" w:after="0"/>
      </w:pPr>
      <w:r>
        <w:t>hold an Australian Business Number (ABN) that matches the legal entity name;</w:t>
      </w:r>
    </w:p>
    <w:p w14:paraId="6C4892C9" w14:textId="77777777" w:rsidR="00E20BB6" w:rsidRDefault="00E20BB6" w:rsidP="00EA27A3">
      <w:pPr>
        <w:pStyle w:val="ListParagraph"/>
        <w:numPr>
          <w:ilvl w:val="0"/>
          <w:numId w:val="21"/>
        </w:numPr>
        <w:spacing w:before="0" w:after="0"/>
      </w:pPr>
      <w:r>
        <w:t>be registered for GST if applicable (turnover greater than $150,000 per annum);</w:t>
      </w:r>
    </w:p>
    <w:p w14:paraId="37342C98" w14:textId="77777777" w:rsidR="00E20BB6" w:rsidRDefault="00E20BB6" w:rsidP="00EA27A3">
      <w:pPr>
        <w:pStyle w:val="ListParagraph"/>
        <w:numPr>
          <w:ilvl w:val="0"/>
          <w:numId w:val="21"/>
        </w:numPr>
        <w:spacing w:before="0" w:after="0"/>
      </w:pPr>
      <w:r>
        <w:t xml:space="preserve">be compliant under the </w:t>
      </w:r>
      <w:r w:rsidRPr="00E20BB6">
        <w:rPr>
          <w:i/>
          <w:iCs/>
        </w:rPr>
        <w:t>Associations Incorporation Act 1991</w:t>
      </w:r>
      <w:r>
        <w:t xml:space="preserve"> (if applicable);</w:t>
      </w:r>
    </w:p>
    <w:p w14:paraId="679F9B8F" w14:textId="77777777" w:rsidR="00E20BB6" w:rsidRDefault="00E20BB6" w:rsidP="00EA27A3">
      <w:pPr>
        <w:pStyle w:val="ListParagraph"/>
        <w:numPr>
          <w:ilvl w:val="0"/>
          <w:numId w:val="21"/>
        </w:numPr>
        <w:spacing w:before="0" w:after="0"/>
      </w:pPr>
      <w:r>
        <w:t>have satisfactorily acquitted all previous ACT Government grants;</w:t>
      </w:r>
    </w:p>
    <w:p w14:paraId="711F9CB4" w14:textId="77777777" w:rsidR="00E20BB6" w:rsidRDefault="00E20BB6" w:rsidP="00EA27A3">
      <w:pPr>
        <w:pStyle w:val="ListParagraph"/>
        <w:numPr>
          <w:ilvl w:val="0"/>
          <w:numId w:val="21"/>
        </w:numPr>
        <w:spacing w:before="0" w:after="0"/>
      </w:pPr>
      <w:r>
        <w:t>hold volunteer workers insurance if volunteers will be engaged; and</w:t>
      </w:r>
    </w:p>
    <w:p w14:paraId="1EAAF8BA" w14:textId="64CBAAD6" w:rsidR="00E20BB6" w:rsidRDefault="00E20BB6" w:rsidP="00EA27A3">
      <w:pPr>
        <w:pStyle w:val="ListParagraph"/>
        <w:numPr>
          <w:ilvl w:val="0"/>
          <w:numId w:val="21"/>
        </w:numPr>
        <w:spacing w:before="0" w:after="0"/>
      </w:pPr>
      <w:r>
        <w:t>hold workers’ compensation insurance.</w:t>
      </w:r>
    </w:p>
    <w:bookmarkEnd w:id="15"/>
    <w:p w14:paraId="03788C9D" w14:textId="77777777" w:rsidR="00E20BB6" w:rsidRDefault="00E20BB6" w:rsidP="00EA27A3">
      <w:pPr>
        <w:spacing w:before="0" w:after="0"/>
        <w:ind w:left="0"/>
      </w:pPr>
    </w:p>
    <w:p w14:paraId="090D9ACD" w14:textId="695BE39F" w:rsidR="0086043C" w:rsidRDefault="00E20BB6" w:rsidP="00EA27A3">
      <w:pPr>
        <w:spacing w:before="0" w:after="0"/>
        <w:ind w:left="0"/>
        <w:rPr>
          <w:i/>
          <w:iCs/>
          <w:sz w:val="20"/>
          <w:szCs w:val="20"/>
        </w:rPr>
      </w:pPr>
      <w:r w:rsidRPr="00E20BB6">
        <w:rPr>
          <w:i/>
          <w:iCs/>
          <w:sz w:val="20"/>
          <w:szCs w:val="20"/>
        </w:rPr>
        <w:t>* ACCOs</w:t>
      </w:r>
      <w:r w:rsidR="00BD0391">
        <w:rPr>
          <w:i/>
          <w:iCs/>
          <w:sz w:val="20"/>
          <w:szCs w:val="20"/>
        </w:rPr>
        <w:t xml:space="preserve"> </w:t>
      </w:r>
      <w:r w:rsidRPr="00E20BB6">
        <w:rPr>
          <w:i/>
          <w:iCs/>
          <w:sz w:val="20"/>
          <w:szCs w:val="20"/>
        </w:rPr>
        <w:t xml:space="preserve">and FNO RTOs are encouraged to apply. Partnerships with these organisations are also encouraged. </w:t>
      </w:r>
      <w:r w:rsidR="0086043C" w:rsidRPr="0086043C">
        <w:rPr>
          <w:i/>
          <w:iCs/>
          <w:sz w:val="20"/>
          <w:szCs w:val="20"/>
        </w:rPr>
        <w:t xml:space="preserve">Mainstream organisations who are committed to genuinely partnering with an ACCO or FNO RTO need to acknowledge cultural load and demonstrate their responsibility in reducing cumulative demands through early planning, shared responsibility, appropriate resourcing and flexible approaches.  </w:t>
      </w:r>
    </w:p>
    <w:p w14:paraId="25AF91A6" w14:textId="77777777" w:rsidR="0086043C" w:rsidRDefault="0086043C" w:rsidP="00EA27A3">
      <w:pPr>
        <w:spacing w:before="0" w:after="0"/>
        <w:ind w:left="0"/>
        <w:rPr>
          <w:i/>
          <w:iCs/>
          <w:sz w:val="20"/>
          <w:szCs w:val="20"/>
        </w:rPr>
      </w:pPr>
    </w:p>
    <w:p w14:paraId="5FC41A37" w14:textId="374D25CA" w:rsidR="00E20BB6" w:rsidRDefault="00E20BB6" w:rsidP="00EA27A3">
      <w:pPr>
        <w:spacing w:before="0" w:after="0"/>
        <w:ind w:left="0"/>
        <w:rPr>
          <w:i/>
          <w:iCs/>
          <w:sz w:val="20"/>
          <w:szCs w:val="20"/>
        </w:rPr>
      </w:pPr>
      <w:r w:rsidRPr="00E20BB6">
        <w:rPr>
          <w:i/>
          <w:iCs/>
          <w:sz w:val="20"/>
          <w:szCs w:val="20"/>
        </w:rPr>
        <w:t xml:space="preserve">Consistent with the objectives of the Grants Program, funding for projects, activities or initiatives that contribute towards </w:t>
      </w:r>
      <w:r w:rsidR="00925B31">
        <w:rPr>
          <w:i/>
          <w:iCs/>
          <w:sz w:val="20"/>
          <w:szCs w:val="20"/>
        </w:rPr>
        <w:t>C</w:t>
      </w:r>
      <w:r w:rsidRPr="00E20BB6">
        <w:rPr>
          <w:i/>
          <w:iCs/>
          <w:sz w:val="20"/>
          <w:szCs w:val="20"/>
        </w:rPr>
        <w:t xml:space="preserve">losing the </w:t>
      </w:r>
      <w:r w:rsidR="00925B31">
        <w:rPr>
          <w:i/>
          <w:iCs/>
          <w:sz w:val="20"/>
          <w:szCs w:val="20"/>
        </w:rPr>
        <w:t>G</w:t>
      </w:r>
      <w:r w:rsidRPr="00E20BB6">
        <w:rPr>
          <w:i/>
          <w:iCs/>
          <w:sz w:val="20"/>
          <w:szCs w:val="20"/>
        </w:rPr>
        <w:t xml:space="preserve">ap on disadvantage between Aboriginal and Torres Strait Islander and non-Indigenous community members will be prioritised. As outlined in the ACT Aboriginal and Torres Strait Islander Agreement, the ACT Government </w:t>
      </w:r>
      <w:r w:rsidR="00925B31">
        <w:rPr>
          <w:i/>
          <w:iCs/>
          <w:sz w:val="20"/>
          <w:szCs w:val="20"/>
        </w:rPr>
        <w:t>is</w:t>
      </w:r>
      <w:r w:rsidRPr="00E20BB6">
        <w:rPr>
          <w:i/>
          <w:iCs/>
          <w:sz w:val="20"/>
          <w:szCs w:val="20"/>
        </w:rPr>
        <w:t xml:space="preserve"> committed to self-determination as the guiding principle in the delivery of programs and services.</w:t>
      </w:r>
    </w:p>
    <w:p w14:paraId="06162326" w14:textId="77777777" w:rsidR="005D6215" w:rsidRPr="00E20BB6" w:rsidRDefault="005D6215" w:rsidP="00EA27A3">
      <w:pPr>
        <w:spacing w:before="0" w:after="0"/>
        <w:ind w:left="0"/>
        <w:rPr>
          <w:i/>
          <w:iCs/>
          <w:sz w:val="20"/>
          <w:szCs w:val="20"/>
        </w:rPr>
      </w:pPr>
    </w:p>
    <w:p w14:paraId="7C613DE6" w14:textId="4C122680" w:rsidR="00E3486B" w:rsidRDefault="00E3486B" w:rsidP="00EA27A3">
      <w:pPr>
        <w:pStyle w:val="Heading2"/>
        <w:spacing w:before="0" w:after="0"/>
      </w:pPr>
      <w:bookmarkStart w:id="17" w:name="_Toc224126075"/>
      <w:bookmarkStart w:id="18" w:name="_Hlk15554106"/>
      <w:bookmarkEnd w:id="16"/>
      <w:r>
        <w:t>Participant Eligibility</w:t>
      </w:r>
      <w:bookmarkEnd w:id="17"/>
      <w:r>
        <w:t xml:space="preserve"> </w:t>
      </w:r>
    </w:p>
    <w:p w14:paraId="29C01F52" w14:textId="29F7CC7F" w:rsidR="00AD7B14" w:rsidRDefault="008E12BE" w:rsidP="00EA27A3">
      <w:pPr>
        <w:spacing w:before="0" w:after="0"/>
        <w:ind w:left="567"/>
      </w:pPr>
      <w:r>
        <w:br/>
      </w:r>
      <w:r w:rsidR="00136B43">
        <w:t xml:space="preserve">For projects that support individual learners, </w:t>
      </w:r>
      <w:r w:rsidR="00526623">
        <w:t xml:space="preserve">participants must meet the following eligibility requirements at the </w:t>
      </w:r>
      <w:r w:rsidR="00AD7B14">
        <w:t>time of enrolment</w:t>
      </w:r>
      <w:r w:rsidR="00526623">
        <w:t>:</w:t>
      </w:r>
    </w:p>
    <w:p w14:paraId="6B707F92" w14:textId="24742476" w:rsidR="00526623" w:rsidRPr="008602D4" w:rsidRDefault="00AD7B14" w:rsidP="00925B31">
      <w:pPr>
        <w:pStyle w:val="ListParagraph"/>
        <w:numPr>
          <w:ilvl w:val="0"/>
          <w:numId w:val="22"/>
        </w:numPr>
        <w:spacing w:before="0" w:after="0"/>
      </w:pPr>
      <w:r w:rsidRPr="008602D4">
        <w:t>live or work in the ACT; and</w:t>
      </w:r>
    </w:p>
    <w:p w14:paraId="72E688E7" w14:textId="7D9421C6" w:rsidR="00526623" w:rsidRDefault="00362B40" w:rsidP="00526623">
      <w:pPr>
        <w:pStyle w:val="ListParagraph"/>
        <w:numPr>
          <w:ilvl w:val="0"/>
          <w:numId w:val="22"/>
        </w:numPr>
        <w:spacing w:before="0" w:after="0"/>
      </w:pPr>
      <w:r>
        <w:t>b</w:t>
      </w:r>
      <w:r w:rsidR="00526623">
        <w:t xml:space="preserve">e either: </w:t>
      </w:r>
    </w:p>
    <w:p w14:paraId="4CFB6AB7" w14:textId="77777777" w:rsidR="00526623" w:rsidRDefault="00AD7B14" w:rsidP="0002242F">
      <w:pPr>
        <w:pStyle w:val="ListParagraph"/>
        <w:numPr>
          <w:ilvl w:val="2"/>
          <w:numId w:val="35"/>
        </w:numPr>
        <w:spacing w:before="0" w:after="0"/>
      </w:pPr>
      <w:r w:rsidRPr="008602D4">
        <w:t>an Australian citizen</w:t>
      </w:r>
      <w:r w:rsidR="00526623">
        <w:t>,</w:t>
      </w:r>
      <w:r w:rsidRPr="008602D4">
        <w:t xml:space="preserve"> or </w:t>
      </w:r>
    </w:p>
    <w:p w14:paraId="6E64DDF6" w14:textId="18CF3791" w:rsidR="00AD7B14" w:rsidRPr="008602D4" w:rsidRDefault="00526623" w:rsidP="0002242F">
      <w:pPr>
        <w:pStyle w:val="ListParagraph"/>
        <w:numPr>
          <w:ilvl w:val="2"/>
          <w:numId w:val="35"/>
        </w:numPr>
        <w:spacing w:before="0" w:after="0"/>
      </w:pPr>
      <w:r>
        <w:t xml:space="preserve">a </w:t>
      </w:r>
      <w:r w:rsidR="00AD7B14" w:rsidRPr="008602D4">
        <w:t>New Zealand citizen; or</w:t>
      </w:r>
    </w:p>
    <w:p w14:paraId="727EF767" w14:textId="2781574C" w:rsidR="00526623" w:rsidRPr="008602D4" w:rsidRDefault="00526623" w:rsidP="0002242F">
      <w:pPr>
        <w:pStyle w:val="ListParagraph"/>
        <w:numPr>
          <w:ilvl w:val="2"/>
          <w:numId w:val="35"/>
        </w:numPr>
        <w:spacing w:before="0" w:after="0"/>
        <w:jc w:val="both"/>
      </w:pPr>
      <w:r>
        <w:t xml:space="preserve">a </w:t>
      </w:r>
      <w:r w:rsidR="00AD7B14" w:rsidRPr="008602D4">
        <w:t>hold</w:t>
      </w:r>
      <w:r>
        <w:t>er of</w:t>
      </w:r>
      <w:r w:rsidR="00AD7B14" w:rsidRPr="008602D4">
        <w:t xml:space="preserve"> an eligible visa </w:t>
      </w:r>
      <w:r>
        <w:t>(</w:t>
      </w:r>
      <w:r w:rsidR="00AD7B14" w:rsidRPr="008602D4">
        <w:t xml:space="preserve">as defined on the </w:t>
      </w:r>
      <w:hyperlink r:id="rId25" w:history="1">
        <w:r w:rsidR="00AD7B14" w:rsidRPr="00AE7033">
          <w:rPr>
            <w:rStyle w:val="Hyperlink"/>
          </w:rPr>
          <w:t>Skills Canberra website</w:t>
        </w:r>
      </w:hyperlink>
      <w:r>
        <w:t>)</w:t>
      </w:r>
      <w:r w:rsidR="00AD7B14" w:rsidRPr="008602D4">
        <w:t>; and</w:t>
      </w:r>
    </w:p>
    <w:p w14:paraId="28A96984" w14:textId="627ABDE5" w:rsidR="00526623" w:rsidRDefault="00362B40" w:rsidP="00EA27A3">
      <w:pPr>
        <w:pStyle w:val="ListParagraph"/>
        <w:numPr>
          <w:ilvl w:val="0"/>
          <w:numId w:val="22"/>
        </w:numPr>
        <w:spacing w:before="0" w:after="0"/>
      </w:pPr>
      <w:r>
        <w:t>b</w:t>
      </w:r>
      <w:r w:rsidR="00526623">
        <w:t>e either:</w:t>
      </w:r>
    </w:p>
    <w:p w14:paraId="65975857" w14:textId="1BFCBDD2" w:rsidR="00AD7B14" w:rsidRPr="008602D4" w:rsidRDefault="00AD7B14" w:rsidP="0002242F">
      <w:pPr>
        <w:pStyle w:val="ListParagraph"/>
        <w:numPr>
          <w:ilvl w:val="2"/>
          <w:numId w:val="35"/>
        </w:numPr>
        <w:spacing w:before="0" w:after="0"/>
      </w:pPr>
      <w:r w:rsidRPr="008602D4">
        <w:t>aged 17</w:t>
      </w:r>
      <w:r w:rsidR="005D6215">
        <w:t xml:space="preserve"> or over </w:t>
      </w:r>
      <w:r w:rsidRPr="008602D4">
        <w:t>and not enrolled in school/college or another Year 12 program; or</w:t>
      </w:r>
    </w:p>
    <w:p w14:paraId="7A24EC26" w14:textId="025D47AE" w:rsidR="00AD7B14" w:rsidRDefault="00AD7B14" w:rsidP="0002242F">
      <w:pPr>
        <w:pStyle w:val="ListParagraph"/>
        <w:numPr>
          <w:ilvl w:val="2"/>
          <w:numId w:val="35"/>
        </w:numPr>
        <w:spacing w:before="0" w:after="0"/>
      </w:pPr>
      <w:r w:rsidRPr="008602D4">
        <w:t>be currently enrolled in, or considering, an Australian School</w:t>
      </w:r>
      <w:r w:rsidRPr="00526623">
        <w:rPr>
          <w:rFonts w:ascii="Cambria Math" w:hAnsi="Cambria Math" w:cs="Cambria Math"/>
        </w:rPr>
        <w:t>‑</w:t>
      </w:r>
      <w:r w:rsidRPr="008602D4">
        <w:t>based Apprenticeship (ASbA).</w:t>
      </w:r>
      <w:r>
        <w:t xml:space="preserve"> </w:t>
      </w:r>
    </w:p>
    <w:p w14:paraId="15976AC8" w14:textId="77777777" w:rsidR="00AD7B14" w:rsidRDefault="00AD7B14" w:rsidP="00EA27A3">
      <w:pPr>
        <w:spacing w:before="0" w:after="0"/>
        <w:jc w:val="both"/>
      </w:pPr>
    </w:p>
    <w:p w14:paraId="4D557C3E" w14:textId="77777777" w:rsidR="003A4BF9" w:rsidRDefault="003A4BF9" w:rsidP="00EA27A3">
      <w:pPr>
        <w:pStyle w:val="Heading2"/>
        <w:spacing w:before="0" w:after="0"/>
      </w:pPr>
      <w:bookmarkStart w:id="19" w:name="_Toc224126076"/>
      <w:bookmarkStart w:id="20" w:name="_Hlk15554205"/>
      <w:bookmarkEnd w:id="18"/>
      <w:r w:rsidRPr="00681E86">
        <w:t xml:space="preserve">Who is not </w:t>
      </w:r>
      <w:r w:rsidR="00B37E87" w:rsidRPr="00681E86">
        <w:t>e</w:t>
      </w:r>
      <w:r w:rsidRPr="00681E86">
        <w:t>ligib</w:t>
      </w:r>
      <w:r w:rsidR="004F7AE9" w:rsidRPr="00681E86">
        <w:t>le</w:t>
      </w:r>
      <w:r w:rsidRPr="00681E86">
        <w:t xml:space="preserve"> to </w:t>
      </w:r>
      <w:r w:rsidR="00B37E87" w:rsidRPr="00681E86">
        <w:t>a</w:t>
      </w:r>
      <w:r w:rsidRPr="00681E86">
        <w:t>pply</w:t>
      </w:r>
      <w:bookmarkEnd w:id="19"/>
    </w:p>
    <w:bookmarkEnd w:id="20"/>
    <w:p w14:paraId="6AFE3779" w14:textId="72763F9A" w:rsidR="009D6A1C" w:rsidRPr="009D6A1C" w:rsidRDefault="00362B40" w:rsidP="00EA27A3">
      <w:pPr>
        <w:pStyle w:val="ListParagraph"/>
        <w:numPr>
          <w:ilvl w:val="0"/>
          <w:numId w:val="23"/>
        </w:numPr>
        <w:spacing w:before="0" w:after="0"/>
      </w:pPr>
      <w:r>
        <w:t>s</w:t>
      </w:r>
      <w:r w:rsidR="009D6A1C" w:rsidRPr="009D6A1C">
        <w:t>tate, territory or federal government agencies (other than RTOs)</w:t>
      </w:r>
      <w:r>
        <w:t>; and</w:t>
      </w:r>
    </w:p>
    <w:p w14:paraId="3F0D79F7" w14:textId="26B76362" w:rsidR="009D6A1C" w:rsidRDefault="00362B40" w:rsidP="00EA27A3">
      <w:pPr>
        <w:pStyle w:val="ListParagraph"/>
        <w:numPr>
          <w:ilvl w:val="0"/>
          <w:numId w:val="23"/>
        </w:numPr>
        <w:spacing w:before="0" w:after="0"/>
      </w:pPr>
      <w:r>
        <w:t>s</w:t>
      </w:r>
      <w:r w:rsidR="009D6A1C" w:rsidRPr="009D6A1C">
        <w:t xml:space="preserve">chools (applications from </w:t>
      </w:r>
      <w:r w:rsidR="00925B31">
        <w:t xml:space="preserve">eligible organisations </w:t>
      </w:r>
      <w:r w:rsidR="009D6A1C" w:rsidRPr="009D6A1C">
        <w:t>partnering with schools will be considered).</w:t>
      </w:r>
    </w:p>
    <w:p w14:paraId="4103B0B2" w14:textId="77777777" w:rsidR="00526623" w:rsidRPr="009D6A1C" w:rsidRDefault="00526623" w:rsidP="00526623">
      <w:pPr>
        <w:pStyle w:val="ListParagraph"/>
        <w:spacing w:before="0" w:after="0"/>
        <w:ind w:left="1069"/>
      </w:pPr>
    </w:p>
    <w:p w14:paraId="19B82CBF" w14:textId="77777777" w:rsidR="00F26B33" w:rsidRDefault="00F26B33" w:rsidP="00EA27A3">
      <w:pPr>
        <w:pStyle w:val="Heading2"/>
        <w:spacing w:before="0" w:after="0"/>
      </w:pPr>
      <w:bookmarkStart w:id="21" w:name="_Toc224126077"/>
      <w:bookmarkStart w:id="22" w:name="_Toc39380339"/>
      <w:bookmarkStart w:id="23" w:name="_Toc301180810"/>
      <w:bookmarkStart w:id="24" w:name="_Toc342469918"/>
      <w:bookmarkStart w:id="25" w:name="_Hlk15554293"/>
      <w:r>
        <w:t>Provision of quotes and supporting documents</w:t>
      </w:r>
      <w:bookmarkEnd w:id="21"/>
      <w:r>
        <w:t xml:space="preserve"> </w:t>
      </w:r>
    </w:p>
    <w:p w14:paraId="4A5C063B" w14:textId="7C23D815" w:rsidR="00F26B33" w:rsidRDefault="00F26B33" w:rsidP="00925B31">
      <w:pPr>
        <w:spacing w:before="0" w:after="0"/>
        <w:rPr>
          <w:rFonts w:cs="Calibri"/>
          <w:szCs w:val="24"/>
        </w:rPr>
      </w:pPr>
      <w:r>
        <w:rPr>
          <w:rFonts w:cs="Calibri"/>
          <w:szCs w:val="24"/>
        </w:rPr>
        <w:t>For an application to be considered eligible</w:t>
      </w:r>
      <w:r w:rsidR="003B15C2">
        <w:rPr>
          <w:rFonts w:cs="Calibri"/>
          <w:szCs w:val="24"/>
        </w:rPr>
        <w:t>,</w:t>
      </w:r>
      <w:r>
        <w:rPr>
          <w:rFonts w:cs="Calibri"/>
          <w:szCs w:val="24"/>
        </w:rPr>
        <w:t xml:space="preserve"> it </w:t>
      </w:r>
      <w:r w:rsidRPr="00D6527E">
        <w:rPr>
          <w:rFonts w:cs="Calibri"/>
          <w:b/>
          <w:bCs/>
          <w:szCs w:val="24"/>
        </w:rPr>
        <w:t>must</w:t>
      </w:r>
      <w:r>
        <w:rPr>
          <w:rFonts w:cs="Calibri"/>
          <w:szCs w:val="24"/>
        </w:rPr>
        <w:t xml:space="preserve"> include the following supporting documents: </w:t>
      </w:r>
    </w:p>
    <w:p w14:paraId="244C64D6" w14:textId="7B28208F" w:rsidR="009D6A1C" w:rsidRPr="008602D4" w:rsidRDefault="00526623" w:rsidP="00925B31">
      <w:pPr>
        <w:pStyle w:val="Bullet1"/>
        <w:spacing w:before="0" w:after="0"/>
      </w:pPr>
      <w:r>
        <w:lastRenderedPageBreak/>
        <w:t>l</w:t>
      </w:r>
      <w:r w:rsidR="009D6A1C" w:rsidRPr="008602D4">
        <w:t xml:space="preserve">etters of support from </w:t>
      </w:r>
      <w:r w:rsidR="003B15C2">
        <w:t xml:space="preserve">each </w:t>
      </w:r>
      <w:r w:rsidR="009D6A1C" w:rsidRPr="008602D4">
        <w:t>project partner</w:t>
      </w:r>
      <w:r w:rsidR="008E12BE">
        <w:t>,</w:t>
      </w:r>
      <w:r w:rsidR="009D6A1C" w:rsidRPr="008602D4">
        <w:t xml:space="preserve"> confirming their contributions</w:t>
      </w:r>
      <w:r w:rsidR="003B15C2">
        <w:t xml:space="preserve"> and the partnership arrangement</w:t>
      </w:r>
      <w:r>
        <w:t>;</w:t>
      </w:r>
    </w:p>
    <w:p w14:paraId="21C526EF" w14:textId="57A9712E" w:rsidR="009D6A1C" w:rsidRDefault="00526623" w:rsidP="00925B31">
      <w:pPr>
        <w:pStyle w:val="Bullet1"/>
        <w:spacing w:before="0" w:after="0"/>
      </w:pPr>
      <w:r>
        <w:t>a</w:t>
      </w:r>
      <w:r w:rsidR="009D6A1C">
        <w:t>t least one quote for any planned expenditure over $5,000 (for purchased items or subcontracted services)</w:t>
      </w:r>
      <w:r>
        <w:t>;</w:t>
      </w:r>
    </w:p>
    <w:p w14:paraId="2373535A" w14:textId="3B8B04EA" w:rsidR="009D6A1C" w:rsidRDefault="00526623" w:rsidP="00925B31">
      <w:pPr>
        <w:pStyle w:val="Bullet1"/>
        <w:spacing w:before="0" w:after="0"/>
      </w:pPr>
      <w:r>
        <w:t>a</w:t>
      </w:r>
      <w:r w:rsidR="009D6A1C">
        <w:t>n itemised budget using the 2026 ACT VET Completions Budget Template</w:t>
      </w:r>
      <w:r>
        <w:t>; and</w:t>
      </w:r>
    </w:p>
    <w:p w14:paraId="37F9AAFE" w14:textId="412DA146" w:rsidR="009D6A1C" w:rsidRDefault="00362B40" w:rsidP="00925B31">
      <w:pPr>
        <w:pStyle w:val="Bullet1"/>
        <w:spacing w:before="0" w:after="0"/>
      </w:pPr>
      <w:r>
        <w:t>a</w:t>
      </w:r>
      <w:r w:rsidR="009D6A1C">
        <w:t xml:space="preserve"> project plan using the 2026 ACT VET Project Plan Template, including key performance indicators (KPIs) and how they will be measured.</w:t>
      </w:r>
    </w:p>
    <w:p w14:paraId="039DFD56" w14:textId="77777777" w:rsidR="003B15C2" w:rsidRDefault="003B15C2" w:rsidP="00925B31">
      <w:pPr>
        <w:pStyle w:val="Bullet1"/>
        <w:numPr>
          <w:ilvl w:val="0"/>
          <w:numId w:val="0"/>
        </w:numPr>
        <w:spacing w:before="0" w:after="0"/>
        <w:ind w:left="1069" w:hanging="360"/>
      </w:pPr>
    </w:p>
    <w:p w14:paraId="2FC12F2B" w14:textId="3A51DF04" w:rsidR="009170C7" w:rsidRDefault="009170C7" w:rsidP="00925B31">
      <w:pPr>
        <w:pStyle w:val="Bullet1"/>
        <w:numPr>
          <w:ilvl w:val="0"/>
          <w:numId w:val="0"/>
        </w:numPr>
        <w:spacing w:before="0" w:after="0"/>
        <w:ind w:left="567" w:firstLine="9"/>
        <w:rPr>
          <w:rFonts w:eastAsiaTheme="minorHAnsi" w:cs="Calibri"/>
          <w:szCs w:val="24"/>
          <w:lang w:eastAsia="en-AU"/>
        </w:rPr>
      </w:pPr>
      <w:r w:rsidRPr="009170C7">
        <w:rPr>
          <w:rFonts w:eastAsiaTheme="minorHAnsi" w:cs="Calibri"/>
          <w:szCs w:val="24"/>
          <w:lang w:eastAsia="en-AU"/>
        </w:rPr>
        <w:t>The ACT Government acknowledges that documentation and evidentiary requirements can place an administrative burden on smaller organisations, including ACCOs. Where appropriate, Skills Canberra may provide guidance or support to assist applicants to meet requirements and will apply a proportionate approach consistent with the scale and complexity of projects.</w:t>
      </w:r>
    </w:p>
    <w:p w14:paraId="731E6286" w14:textId="77777777" w:rsidR="00526623" w:rsidRPr="00D6527E" w:rsidRDefault="00526623" w:rsidP="00EA27A3">
      <w:pPr>
        <w:pStyle w:val="Bullet1"/>
        <w:numPr>
          <w:ilvl w:val="0"/>
          <w:numId w:val="0"/>
        </w:numPr>
        <w:spacing w:before="0" w:after="0"/>
        <w:ind w:left="567" w:firstLine="9"/>
        <w:rPr>
          <w:rFonts w:eastAsiaTheme="minorHAnsi" w:cs="Calibri"/>
          <w:szCs w:val="24"/>
          <w:lang w:eastAsia="en-AU"/>
        </w:rPr>
      </w:pPr>
    </w:p>
    <w:p w14:paraId="747351F1" w14:textId="755B2CB0" w:rsidR="000F653A" w:rsidRPr="00600530" w:rsidRDefault="000F653A" w:rsidP="00EA27A3">
      <w:pPr>
        <w:pStyle w:val="Heading2"/>
        <w:spacing w:before="0" w:after="0"/>
      </w:pPr>
      <w:bookmarkStart w:id="26" w:name="_Toc224126078"/>
      <w:r w:rsidRPr="00600530">
        <w:t xml:space="preserve">What </w:t>
      </w:r>
      <w:r w:rsidR="00926DC5" w:rsidRPr="00600530">
        <w:t>may</w:t>
      </w:r>
      <w:r w:rsidRPr="00600530">
        <w:t xml:space="preserve"> be considered for </w:t>
      </w:r>
      <w:r w:rsidR="00B37E87" w:rsidRPr="00600530">
        <w:t>f</w:t>
      </w:r>
      <w:r w:rsidRPr="00600530">
        <w:t>unding</w:t>
      </w:r>
      <w:bookmarkEnd w:id="22"/>
      <w:bookmarkEnd w:id="23"/>
      <w:bookmarkEnd w:id="24"/>
      <w:bookmarkEnd w:id="26"/>
    </w:p>
    <w:bookmarkEnd w:id="25"/>
    <w:p w14:paraId="7D19B6E7" w14:textId="3C20380F" w:rsidR="00BF7589" w:rsidRDefault="00AE7033" w:rsidP="00EA27A3">
      <w:pPr>
        <w:spacing w:before="0" w:after="0"/>
      </w:pPr>
      <w:r>
        <w:t>Projects can be designed to</w:t>
      </w:r>
      <w:r w:rsidR="009D6A1C">
        <w:t xml:space="preserve">: </w:t>
      </w:r>
    </w:p>
    <w:p w14:paraId="6284AA7B" w14:textId="6D90F944" w:rsidR="009D6A1C" w:rsidRPr="008602D4" w:rsidRDefault="00442966" w:rsidP="00AE7033">
      <w:pPr>
        <w:pStyle w:val="ListParagraph"/>
        <w:numPr>
          <w:ilvl w:val="0"/>
          <w:numId w:val="41"/>
        </w:numPr>
        <w:spacing w:before="0" w:after="0"/>
      </w:pPr>
      <w:r>
        <w:t>s</w:t>
      </w:r>
      <w:r w:rsidR="009D6A1C" w:rsidRPr="008602D4">
        <w:t xml:space="preserve">upport currently enrolled </w:t>
      </w:r>
      <w:r w:rsidR="009D6FB0">
        <w:t xml:space="preserve">VET </w:t>
      </w:r>
      <w:r w:rsidR="009D6A1C" w:rsidRPr="008602D4">
        <w:t>learners</w:t>
      </w:r>
      <w:r w:rsidR="009D6FB0">
        <w:t>, including apprentices and trainees,</w:t>
      </w:r>
      <w:r w:rsidR="009D6A1C" w:rsidRPr="008602D4">
        <w:t xml:space="preserve"> to remain engaged and progress in training</w:t>
      </w:r>
      <w:r>
        <w:t>;</w:t>
      </w:r>
    </w:p>
    <w:p w14:paraId="168D0AE6" w14:textId="5BC97CCB" w:rsidR="009D6A1C" w:rsidRPr="008602D4" w:rsidRDefault="00442966" w:rsidP="00AE7033">
      <w:pPr>
        <w:pStyle w:val="ListParagraph"/>
        <w:numPr>
          <w:ilvl w:val="0"/>
          <w:numId w:val="41"/>
        </w:numPr>
        <w:spacing w:before="0" w:after="0"/>
      </w:pPr>
      <w:r>
        <w:t>s</w:t>
      </w:r>
      <w:r w:rsidR="009D6A1C" w:rsidRPr="008602D4">
        <w:t xml:space="preserve">upport prospective </w:t>
      </w:r>
      <w:r w:rsidR="009D6FB0">
        <w:t xml:space="preserve">VET </w:t>
      </w:r>
      <w:r w:rsidR="009D6A1C" w:rsidRPr="008602D4">
        <w:t>learners to increase the likelihood of successful completion once enrolled</w:t>
      </w:r>
      <w:r>
        <w:t>; and</w:t>
      </w:r>
      <w:r w:rsidR="00AE7033">
        <w:t>/ or</w:t>
      </w:r>
    </w:p>
    <w:p w14:paraId="7F4CA584" w14:textId="489ACBAD" w:rsidR="009D6A1C" w:rsidRPr="008602D4" w:rsidRDefault="00442966" w:rsidP="00AE7033">
      <w:pPr>
        <w:pStyle w:val="ListParagraph"/>
        <w:numPr>
          <w:ilvl w:val="0"/>
          <w:numId w:val="41"/>
        </w:numPr>
        <w:spacing w:before="0" w:after="0"/>
      </w:pPr>
      <w:r>
        <w:t>i</w:t>
      </w:r>
      <w:r w:rsidR="009D6A1C" w:rsidRPr="008602D4">
        <w:t>mplement system</w:t>
      </w:r>
      <w:r w:rsidR="009D6A1C" w:rsidRPr="00AE7033">
        <w:rPr>
          <w:rFonts w:ascii="Cambria Math" w:hAnsi="Cambria Math" w:cs="Cambria Math"/>
        </w:rPr>
        <w:t>‑</w:t>
      </w:r>
      <w:r w:rsidR="009D6A1C" w:rsidRPr="008602D4">
        <w:t xml:space="preserve">level improvements that strengthen tools, </w:t>
      </w:r>
      <w:r>
        <w:t>supports</w:t>
      </w:r>
      <w:r w:rsidR="009D6A1C" w:rsidRPr="008602D4">
        <w:t xml:space="preserve"> and system effectiveness for </w:t>
      </w:r>
      <w:r w:rsidR="009D6FB0">
        <w:t xml:space="preserve">VET </w:t>
      </w:r>
      <w:r w:rsidR="009D6A1C" w:rsidRPr="008602D4">
        <w:t>completions</w:t>
      </w:r>
      <w:r w:rsidR="009D6FB0">
        <w:t>.</w:t>
      </w:r>
      <w:r w:rsidR="003B15C2">
        <w:br/>
      </w:r>
    </w:p>
    <w:p w14:paraId="35728390" w14:textId="521785A5" w:rsidR="009D6A1C" w:rsidRDefault="00442966" w:rsidP="00EA27A3">
      <w:pPr>
        <w:spacing w:before="0" w:after="0"/>
      </w:pPr>
      <w:r>
        <w:t xml:space="preserve">Activities which </w:t>
      </w:r>
      <w:r w:rsidR="00526623">
        <w:t xml:space="preserve">support recommendations outlined in the </w:t>
      </w:r>
      <w:hyperlink r:id="rId26" w:history="1">
        <w:r w:rsidR="0002242F">
          <w:rPr>
            <w:rStyle w:val="Hyperlink"/>
          </w:rPr>
          <w:t>National VET Completions Report</w:t>
        </w:r>
      </w:hyperlink>
      <w:r w:rsidR="00AE7033">
        <w:t xml:space="preserve">, </w:t>
      </w:r>
      <w:r w:rsidR="00AE7033" w:rsidRPr="00AE7033">
        <w:t>and that contribute to sustainable employment outcomes for individual learners or at the system level, may be considered for funding. Examples of eligible activities include (but are not limited to):</w:t>
      </w:r>
      <w:r w:rsidR="00AE7033">
        <w:t xml:space="preserve"> </w:t>
      </w:r>
      <w:r>
        <w:t xml:space="preserve"> </w:t>
      </w:r>
    </w:p>
    <w:p w14:paraId="052E077A" w14:textId="055306A6" w:rsidR="009D6A1C" w:rsidRDefault="00442966" w:rsidP="00EA27A3">
      <w:pPr>
        <w:pStyle w:val="Bullet1"/>
        <w:spacing w:before="0" w:after="0"/>
      </w:pPr>
      <w:r>
        <w:t>t</w:t>
      </w:r>
      <w:r w:rsidR="009D6A1C">
        <w:t xml:space="preserve">ailored supports addressing personal, academic, cultural, </w:t>
      </w:r>
      <w:r w:rsidR="00A61915">
        <w:t xml:space="preserve">accessibility, </w:t>
      </w:r>
      <w:r w:rsidR="009D6A1C">
        <w:t xml:space="preserve">wellbeing or logistical barriers </w:t>
      </w:r>
      <w:r w:rsidR="00FB0BEE" w:rsidRPr="00FB0BEE">
        <w:t>delivered through relationship</w:t>
      </w:r>
      <w:r w:rsidR="00FB0BEE" w:rsidRPr="00FB0BEE">
        <w:rPr>
          <w:rFonts w:ascii="Cambria Math" w:hAnsi="Cambria Math" w:cs="Cambria Math"/>
        </w:rPr>
        <w:t>‑</w:t>
      </w:r>
      <w:r w:rsidR="00FB0BEE" w:rsidRPr="00FB0BEE">
        <w:t>based, face</w:t>
      </w:r>
      <w:r w:rsidR="00FB0BEE" w:rsidRPr="00FB0BEE">
        <w:rPr>
          <w:rFonts w:ascii="Cambria Math" w:hAnsi="Cambria Math" w:cs="Cambria Math"/>
        </w:rPr>
        <w:t>‑</w:t>
      </w:r>
      <w:r w:rsidR="00FB0BEE" w:rsidRPr="00FB0BEE">
        <w:t>to</w:t>
      </w:r>
      <w:r w:rsidR="00FB0BEE" w:rsidRPr="00FB0BEE">
        <w:rPr>
          <w:rFonts w:ascii="Cambria Math" w:hAnsi="Cambria Math" w:cs="Cambria Math"/>
        </w:rPr>
        <w:t>‑</w:t>
      </w:r>
      <w:r w:rsidR="00FB0BEE" w:rsidRPr="00FB0BEE">
        <w:t>face assistance where possible</w:t>
      </w:r>
      <w:r>
        <w:t>;</w:t>
      </w:r>
    </w:p>
    <w:p w14:paraId="51E196D4" w14:textId="2B6F4DD3" w:rsidR="009D6A1C" w:rsidRDefault="00442966" w:rsidP="00EA27A3">
      <w:pPr>
        <w:pStyle w:val="Bullet1"/>
        <w:spacing w:before="0" w:after="0"/>
      </w:pPr>
      <w:r>
        <w:t>c</w:t>
      </w:r>
      <w:r w:rsidR="009D6A1C">
        <w:t>ulturally safe, community</w:t>
      </w:r>
      <w:r w:rsidR="009D6A1C" w:rsidRPr="009D6A1C">
        <w:rPr>
          <w:rFonts w:ascii="Cambria Math" w:hAnsi="Cambria Math" w:cs="Cambria Math"/>
        </w:rPr>
        <w:t>‑</w:t>
      </w:r>
      <w:r w:rsidR="009D6A1C">
        <w:t>led supports for Aboriginal and Torres Strait Islander learners, including ACCO</w:t>
      </w:r>
      <w:r w:rsidR="009D6A1C" w:rsidRPr="009D6A1C">
        <w:rPr>
          <w:rFonts w:ascii="Cambria Math" w:hAnsi="Cambria Math" w:cs="Cambria Math"/>
        </w:rPr>
        <w:t>‑</w:t>
      </w:r>
      <w:r w:rsidR="009D6A1C">
        <w:t>designed and delivered initiatives</w:t>
      </w:r>
      <w:r>
        <w:t>;</w:t>
      </w:r>
    </w:p>
    <w:p w14:paraId="65EBE37C" w14:textId="5D32C7D9" w:rsidR="00FB0BEE" w:rsidRDefault="00442966" w:rsidP="00FB0BEE">
      <w:pPr>
        <w:pStyle w:val="Bullet1"/>
        <w:spacing w:before="0" w:after="0"/>
      </w:pPr>
      <w:r>
        <w:t>a</w:t>
      </w:r>
      <w:r w:rsidR="009D6A1C">
        <w:t>ctivities that strengthen the apprentice</w:t>
      </w:r>
      <w:r w:rsidR="00D71242">
        <w:t>/trainee</w:t>
      </w:r>
      <w:r w:rsidR="009D6A1C">
        <w:t xml:space="preserve">–employer–RTO relationship, including improving supervision, mentoring, and training plan use, </w:t>
      </w:r>
      <w:r w:rsidR="00FB0BEE" w:rsidRPr="00FB0BEE">
        <w:t>upskilling supervisors who lack training in people management, mentoring or culturally safe practice, and supporting employers to create positive workplace cultures that retain learners.</w:t>
      </w:r>
    </w:p>
    <w:p w14:paraId="5664361B" w14:textId="6B6EF423" w:rsidR="009D6A1C" w:rsidRDefault="009D6FB0" w:rsidP="00EA27A3">
      <w:pPr>
        <w:pStyle w:val="Bullet1"/>
        <w:spacing w:before="0" w:after="0"/>
      </w:pPr>
      <w:r>
        <w:t xml:space="preserve">skilling </w:t>
      </w:r>
      <w:r w:rsidR="009D6A1C">
        <w:t xml:space="preserve">employers </w:t>
      </w:r>
      <w:r>
        <w:t xml:space="preserve">to </w:t>
      </w:r>
      <w:r w:rsidR="009D6A1C">
        <w:t>create safe, supportive and inclusive workplace cultures</w:t>
      </w:r>
      <w:r w:rsidR="00442966">
        <w:t>;</w:t>
      </w:r>
    </w:p>
    <w:p w14:paraId="5D7C83A5" w14:textId="0029BCDB" w:rsidR="009D6A1C" w:rsidRDefault="00442966" w:rsidP="00EA27A3">
      <w:pPr>
        <w:pStyle w:val="Bullet1"/>
        <w:spacing w:before="0" w:after="0"/>
      </w:pPr>
      <w:r>
        <w:t>m</w:t>
      </w:r>
      <w:r w:rsidR="009D6A1C">
        <w:t>entoring, career pathway guidance</w:t>
      </w:r>
      <w:r w:rsidR="001608F9">
        <w:t xml:space="preserve"> and</w:t>
      </w:r>
      <w:r w:rsidR="009D6A1C">
        <w:t xml:space="preserve"> workplace exposure, and culturally or contextually appropriate wrap</w:t>
      </w:r>
      <w:r w:rsidR="009D6A1C" w:rsidRPr="009D6A1C">
        <w:rPr>
          <w:rFonts w:ascii="Cambria Math" w:hAnsi="Cambria Math" w:cs="Cambria Math"/>
        </w:rPr>
        <w:t>‑</w:t>
      </w:r>
      <w:r w:rsidR="009D6A1C">
        <w:t>around assistance</w:t>
      </w:r>
      <w:r w:rsidR="001608F9">
        <w:t xml:space="preserve"> to support training and employment outcomes</w:t>
      </w:r>
      <w:r>
        <w:t>;</w:t>
      </w:r>
    </w:p>
    <w:p w14:paraId="0CD348FB" w14:textId="5C25964A" w:rsidR="009D6A1C" w:rsidRDefault="00442966" w:rsidP="00EA27A3">
      <w:pPr>
        <w:pStyle w:val="Bullet1"/>
        <w:spacing w:before="0" w:after="0"/>
      </w:pPr>
      <w:r>
        <w:t>p</w:t>
      </w:r>
      <w:r w:rsidR="009D6A1C">
        <w:t xml:space="preserve">roactive identification and support for learners </w:t>
      </w:r>
      <w:r w:rsidR="001E06AE">
        <w:t xml:space="preserve">facing difficulty </w:t>
      </w:r>
      <w:r w:rsidR="0029248D">
        <w:t xml:space="preserve">in continuing or completing their training </w:t>
      </w:r>
      <w:r w:rsidR="009D6A1C">
        <w:t>(</w:t>
      </w:r>
      <w:r w:rsidR="001608F9">
        <w:t>for example</w:t>
      </w:r>
      <w:r w:rsidR="009D6A1C">
        <w:t xml:space="preserve"> outreach, re</w:t>
      </w:r>
      <w:r w:rsidR="009D6A1C" w:rsidRPr="009D6A1C">
        <w:rPr>
          <w:rFonts w:ascii="Cambria Math" w:hAnsi="Cambria Math" w:cs="Cambria Math"/>
        </w:rPr>
        <w:t>‑</w:t>
      </w:r>
      <w:r w:rsidR="009D6A1C">
        <w:t>engagement, transition support</w:t>
      </w:r>
      <w:r w:rsidR="001608F9">
        <w:t>s</w:t>
      </w:r>
      <w:r w:rsidR="009D6A1C">
        <w:t>)</w:t>
      </w:r>
      <w:r>
        <w:t>;</w:t>
      </w:r>
    </w:p>
    <w:p w14:paraId="20A37836" w14:textId="1874F007" w:rsidR="009D6A1C" w:rsidRDefault="00442966" w:rsidP="00EA27A3">
      <w:pPr>
        <w:pStyle w:val="Bullet1"/>
        <w:spacing w:before="0" w:after="0"/>
      </w:pPr>
      <w:r>
        <w:t>i</w:t>
      </w:r>
      <w:r w:rsidR="009D6A1C">
        <w:t>mproving the quality, accessibility and inclusiveness of delivery (</w:t>
      </w:r>
      <w:r w:rsidR="001608F9">
        <w:t>for example</w:t>
      </w:r>
      <w:r w:rsidR="009D6A1C">
        <w:t xml:space="preserve"> learner</w:t>
      </w:r>
      <w:r w:rsidR="009D6A1C" w:rsidRPr="009D6A1C">
        <w:rPr>
          <w:rFonts w:ascii="Cambria Math" w:hAnsi="Cambria Math" w:cs="Cambria Math"/>
        </w:rPr>
        <w:t>‑</w:t>
      </w:r>
      <w:r w:rsidR="009D6A1C">
        <w:t>centred, flexible and responsive practices)</w:t>
      </w:r>
      <w:r>
        <w:t>; and</w:t>
      </w:r>
    </w:p>
    <w:p w14:paraId="0EFF47EB" w14:textId="1BAC3BC2" w:rsidR="009D6A1C" w:rsidRDefault="00442966" w:rsidP="00EA27A3">
      <w:pPr>
        <w:pStyle w:val="Bullet1"/>
        <w:spacing w:before="0" w:after="0"/>
      </w:pPr>
      <w:r>
        <w:t>s</w:t>
      </w:r>
      <w:r w:rsidR="009D6A1C">
        <w:t>upporting informed learner decision</w:t>
      </w:r>
      <w:r w:rsidR="009D6A1C" w:rsidRPr="009D6A1C">
        <w:rPr>
          <w:rFonts w:ascii="Cambria Math" w:hAnsi="Cambria Math" w:cs="Cambria Math"/>
        </w:rPr>
        <w:t>‑</w:t>
      </w:r>
      <w:r w:rsidR="009D6A1C">
        <w:t>making (</w:t>
      </w:r>
      <w:r w:rsidR="001608F9">
        <w:t>for example</w:t>
      </w:r>
      <w:r w:rsidR="009D6A1C">
        <w:t xml:space="preserve"> clearer VET </w:t>
      </w:r>
      <w:r w:rsidR="001608F9">
        <w:t xml:space="preserve">and employment pathways </w:t>
      </w:r>
      <w:r w:rsidR="009D6A1C">
        <w:t>information, high</w:t>
      </w:r>
      <w:r w:rsidR="009D6A1C" w:rsidRPr="009D6A1C">
        <w:rPr>
          <w:rFonts w:ascii="Cambria Math" w:hAnsi="Cambria Math" w:cs="Cambria Math"/>
        </w:rPr>
        <w:t>‑</w:t>
      </w:r>
      <w:r w:rsidR="009D6A1C">
        <w:t xml:space="preserve">quality enrolment support, </w:t>
      </w:r>
      <w:r w:rsidR="00FB0BEE" w:rsidRPr="00FB0BEE">
        <w:t xml:space="preserve">structured taster, </w:t>
      </w:r>
      <w:r w:rsidR="009D6A1C">
        <w:t>tasters/preparation programs).</w:t>
      </w:r>
    </w:p>
    <w:p w14:paraId="7C806692" w14:textId="77777777" w:rsidR="008E12BE" w:rsidRDefault="008E12BE" w:rsidP="004C39AB">
      <w:pPr>
        <w:pStyle w:val="Bullet1"/>
        <w:numPr>
          <w:ilvl w:val="0"/>
          <w:numId w:val="0"/>
        </w:numPr>
        <w:spacing w:before="0" w:after="0"/>
        <w:ind w:left="1069"/>
      </w:pPr>
    </w:p>
    <w:p w14:paraId="5116A163" w14:textId="77777777" w:rsidR="009D6A1C" w:rsidRDefault="009D6A1C" w:rsidP="00EA27A3">
      <w:pPr>
        <w:spacing w:before="0" w:after="0"/>
      </w:pPr>
    </w:p>
    <w:p w14:paraId="271EC4DD" w14:textId="5B58E5A5" w:rsidR="00481038" w:rsidRPr="00287C14" w:rsidRDefault="000F4FDE" w:rsidP="00EA27A3">
      <w:pPr>
        <w:spacing w:before="0" w:after="0"/>
        <w:rPr>
          <w:b/>
          <w:bCs/>
          <w:u w:val="single"/>
        </w:rPr>
      </w:pPr>
      <w:r>
        <w:rPr>
          <w:b/>
          <w:bCs/>
          <w:u w:val="single"/>
        </w:rPr>
        <w:lastRenderedPageBreak/>
        <w:t>T</w:t>
      </w:r>
      <w:r w:rsidR="00287C14" w:rsidRPr="00287C14">
        <w:rPr>
          <w:b/>
          <w:bCs/>
          <w:u w:val="single"/>
        </w:rPr>
        <w:t>raining</w:t>
      </w:r>
      <w:r>
        <w:rPr>
          <w:b/>
          <w:bCs/>
          <w:u w:val="single"/>
        </w:rPr>
        <w:t xml:space="preserve"> delivery</w:t>
      </w:r>
    </w:p>
    <w:p w14:paraId="593313F5" w14:textId="77777777" w:rsidR="009D6A1C" w:rsidRDefault="009D6A1C" w:rsidP="00EA27A3">
      <w:pPr>
        <w:spacing w:before="0" w:after="0"/>
      </w:pPr>
      <w:r>
        <w:t>Accredited or non</w:t>
      </w:r>
      <w:r>
        <w:rPr>
          <w:rFonts w:ascii="Cambria Math" w:hAnsi="Cambria Math" w:cs="Cambria Math"/>
        </w:rPr>
        <w:t>‑</w:t>
      </w:r>
      <w:r>
        <w:t>accredited training may be funded when:</w:t>
      </w:r>
    </w:p>
    <w:p w14:paraId="1791893B" w14:textId="541B4DC0" w:rsidR="009D6A1C" w:rsidRDefault="009D6A1C" w:rsidP="00EA27A3">
      <w:pPr>
        <w:pStyle w:val="Bullet1"/>
        <w:numPr>
          <w:ilvl w:val="0"/>
          <w:numId w:val="29"/>
        </w:numPr>
        <w:spacing w:before="0" w:after="0"/>
      </w:pPr>
      <w:r>
        <w:t xml:space="preserve">it is part of a </w:t>
      </w:r>
      <w:r w:rsidR="003B15C2">
        <w:t xml:space="preserve">broader </w:t>
      </w:r>
      <w:r>
        <w:t>strategy t</w:t>
      </w:r>
      <w:r w:rsidR="0029248D">
        <w:t>o s</w:t>
      </w:r>
      <w:r w:rsidR="0029248D" w:rsidRPr="0029248D">
        <w:t xml:space="preserve">upport learners to complete training and succeed in employment </w:t>
      </w:r>
      <w:r>
        <w:t>;</w:t>
      </w:r>
    </w:p>
    <w:p w14:paraId="454A4D23" w14:textId="25EA7B9E" w:rsidR="009D6A1C" w:rsidRDefault="009D6A1C" w:rsidP="00EA27A3">
      <w:pPr>
        <w:pStyle w:val="Bullet1"/>
        <w:numPr>
          <w:ilvl w:val="0"/>
          <w:numId w:val="29"/>
        </w:numPr>
        <w:spacing w:before="0" w:after="0"/>
      </w:pPr>
      <w:r>
        <w:t>it is not already available through another funding mechanism</w:t>
      </w:r>
      <w:r w:rsidR="000861AE">
        <w:t>, including but not limited to Fee Free TAFE, Skilled Capital and User Choice</w:t>
      </w:r>
      <w:r>
        <w:t>; and</w:t>
      </w:r>
    </w:p>
    <w:p w14:paraId="4E7E141A" w14:textId="24838A39" w:rsidR="009D6A1C" w:rsidRDefault="009D6A1C" w:rsidP="00EA27A3">
      <w:pPr>
        <w:pStyle w:val="Bullet1"/>
        <w:numPr>
          <w:ilvl w:val="0"/>
          <w:numId w:val="29"/>
        </w:numPr>
        <w:spacing w:before="0" w:after="0"/>
      </w:pPr>
      <w:r>
        <w:t>an RTO is confirmed to deliver any accredited training and:</w:t>
      </w:r>
    </w:p>
    <w:p w14:paraId="55D601DC" w14:textId="367D4D7C" w:rsidR="009D6A1C" w:rsidRDefault="009D6A1C" w:rsidP="00EA27A3">
      <w:pPr>
        <w:pStyle w:val="Bullet1"/>
        <w:numPr>
          <w:ilvl w:val="0"/>
          <w:numId w:val="26"/>
        </w:numPr>
        <w:spacing w:before="0" w:after="0"/>
      </w:pPr>
      <w:r>
        <w:t>has the relevant unit(s) of competency on scope for delivery and assessment in the ACT;</w:t>
      </w:r>
    </w:p>
    <w:p w14:paraId="0E123BA7" w14:textId="47DE3624" w:rsidR="009D6A1C" w:rsidRDefault="009D6A1C" w:rsidP="00EA27A3">
      <w:pPr>
        <w:pStyle w:val="Bullet1"/>
        <w:numPr>
          <w:ilvl w:val="0"/>
          <w:numId w:val="26"/>
        </w:numPr>
        <w:spacing w:before="0" w:after="0"/>
      </w:pPr>
      <w:r>
        <w:t>provides a quote for delivery, assessment and certification (unless the RTO is the applicant</w:t>
      </w:r>
      <w:r w:rsidR="003B15C2">
        <w:t>, in which case, this should be clearly expressed in the application</w:t>
      </w:r>
      <w:r>
        <w:t>);</w:t>
      </w:r>
    </w:p>
    <w:p w14:paraId="6C872A44" w14:textId="0AEAF0EE" w:rsidR="009D6A1C" w:rsidRDefault="009D6A1C" w:rsidP="00EA27A3">
      <w:pPr>
        <w:pStyle w:val="Bullet1"/>
        <w:numPr>
          <w:ilvl w:val="0"/>
          <w:numId w:val="26"/>
        </w:numPr>
        <w:spacing w:before="0" w:after="0"/>
      </w:pPr>
      <w:r>
        <w:t>holds a current ACT Training Initiative Funding Agreement (TIFA)</w:t>
      </w:r>
      <w:r w:rsidR="000861AE">
        <w:t>*</w:t>
      </w:r>
      <w:r>
        <w:t>; and</w:t>
      </w:r>
    </w:p>
    <w:p w14:paraId="4C888747" w14:textId="6C990923" w:rsidR="009D6A1C" w:rsidRDefault="009D6A1C" w:rsidP="00EA27A3">
      <w:pPr>
        <w:pStyle w:val="Bullet1"/>
        <w:numPr>
          <w:ilvl w:val="0"/>
          <w:numId w:val="26"/>
        </w:numPr>
        <w:spacing w:before="0" w:after="0"/>
      </w:pPr>
      <w:r>
        <w:t>ensures training and assessment meet</w:t>
      </w:r>
      <w:r w:rsidR="003B15C2">
        <w:t>s</w:t>
      </w:r>
      <w:r>
        <w:t xml:space="preserve"> ASQA national registration requirements.</w:t>
      </w:r>
    </w:p>
    <w:p w14:paraId="10AD0602" w14:textId="77777777" w:rsidR="00442966" w:rsidRDefault="00442966" w:rsidP="00EA27A3">
      <w:pPr>
        <w:spacing w:before="0" w:after="0"/>
        <w:ind w:left="0"/>
        <w:rPr>
          <w:i/>
          <w:iCs/>
          <w:sz w:val="20"/>
          <w:szCs w:val="20"/>
        </w:rPr>
      </w:pPr>
    </w:p>
    <w:p w14:paraId="36E2E18E" w14:textId="4429BFB9" w:rsidR="00926DC5" w:rsidRDefault="000861AE" w:rsidP="00EA27A3">
      <w:pPr>
        <w:spacing w:before="0" w:after="0"/>
        <w:ind w:left="0"/>
        <w:rPr>
          <w:i/>
          <w:iCs/>
          <w:sz w:val="20"/>
          <w:szCs w:val="20"/>
        </w:rPr>
      </w:pPr>
      <w:r w:rsidRPr="00D6527E">
        <w:rPr>
          <w:i/>
          <w:iCs/>
          <w:sz w:val="20"/>
          <w:szCs w:val="20"/>
        </w:rPr>
        <w:t>*</w:t>
      </w:r>
      <w:r w:rsidR="00D15C40" w:rsidRPr="00D6527E">
        <w:rPr>
          <w:i/>
          <w:iCs/>
          <w:sz w:val="20"/>
          <w:szCs w:val="20"/>
        </w:rPr>
        <w:t xml:space="preserve"> ACCO and FNO RTOs are not required to hold a TIFA for accredited training to be considered. This reflects the ACT Government’s priority to support the growth of the ACCO and FNO RTO sector. All other requirements must still be met.</w:t>
      </w:r>
    </w:p>
    <w:p w14:paraId="2ED2B302" w14:textId="77777777" w:rsidR="00442966" w:rsidRPr="00D6527E" w:rsidRDefault="00442966" w:rsidP="00EA27A3">
      <w:pPr>
        <w:spacing w:before="0" w:after="0"/>
        <w:ind w:left="0"/>
        <w:rPr>
          <w:i/>
          <w:iCs/>
          <w:sz w:val="20"/>
        </w:rPr>
      </w:pPr>
    </w:p>
    <w:p w14:paraId="562EE21D" w14:textId="43DB934F" w:rsidR="00926DC5" w:rsidRDefault="00926DC5" w:rsidP="00442966">
      <w:pPr>
        <w:spacing w:before="0" w:after="0"/>
        <w:rPr>
          <w:b/>
          <w:bCs/>
          <w:u w:val="single"/>
        </w:rPr>
      </w:pPr>
      <w:r w:rsidRPr="00926DC5">
        <w:rPr>
          <w:b/>
          <w:bCs/>
          <w:u w:val="single"/>
        </w:rPr>
        <w:t>What may be considered for funding</w:t>
      </w:r>
      <w:r w:rsidR="003B15C2">
        <w:rPr>
          <w:b/>
          <w:bCs/>
          <w:u w:val="single"/>
        </w:rPr>
        <w:t xml:space="preserve"> </w:t>
      </w:r>
      <w:r w:rsidRPr="00926DC5">
        <w:rPr>
          <w:b/>
          <w:bCs/>
          <w:u w:val="single"/>
        </w:rPr>
        <w:t xml:space="preserve">project </w:t>
      </w:r>
      <w:r>
        <w:rPr>
          <w:b/>
          <w:bCs/>
          <w:u w:val="single"/>
        </w:rPr>
        <w:t>costs</w:t>
      </w:r>
    </w:p>
    <w:p w14:paraId="26E95A1C" w14:textId="5829035D" w:rsidR="00884DA9" w:rsidRDefault="00D34D69" w:rsidP="00EA27A3">
      <w:pPr>
        <w:pStyle w:val="Bullet1"/>
        <w:numPr>
          <w:ilvl w:val="0"/>
          <w:numId w:val="0"/>
        </w:numPr>
        <w:spacing w:before="0" w:after="0"/>
        <w:ind w:left="709"/>
      </w:pPr>
      <w:r>
        <w:t>Reasonable w</w:t>
      </w:r>
      <w:r w:rsidR="00884DA9">
        <w:t>ages and on</w:t>
      </w:r>
      <w:r w:rsidR="00884DA9">
        <w:rPr>
          <w:rFonts w:ascii="Cambria Math" w:hAnsi="Cambria Math" w:cs="Cambria Math"/>
        </w:rPr>
        <w:t>‑</w:t>
      </w:r>
      <w:r w:rsidR="00884DA9">
        <w:t>costs for service</w:t>
      </w:r>
      <w:r w:rsidR="00884DA9">
        <w:rPr>
          <w:rFonts w:ascii="Cambria Math" w:hAnsi="Cambria Math" w:cs="Cambria Math"/>
        </w:rPr>
        <w:t>‑</w:t>
      </w:r>
      <w:r w:rsidR="00884DA9">
        <w:t>delivery staff</w:t>
      </w:r>
      <w:r w:rsidR="001608F9">
        <w:t>, such as program coordinators</w:t>
      </w:r>
      <w:r w:rsidR="008E12BE">
        <w:t>,</w:t>
      </w:r>
      <w:r w:rsidR="00884DA9">
        <w:t xml:space="preserve"> may be considered where they are required to undertake activities such as:</w:t>
      </w:r>
    </w:p>
    <w:p w14:paraId="6132A6C8" w14:textId="2136A290" w:rsidR="00884DA9" w:rsidRDefault="00442966" w:rsidP="00EA27A3">
      <w:pPr>
        <w:pStyle w:val="Bullet1"/>
        <w:spacing w:before="0" w:after="0"/>
      </w:pPr>
      <w:r>
        <w:t>c</w:t>
      </w:r>
      <w:r w:rsidR="00884DA9">
        <w:t>oordinating and delivering project activities, including attracting, selecting, supporting and retaining participants</w:t>
      </w:r>
      <w:r>
        <w:t>;</w:t>
      </w:r>
    </w:p>
    <w:p w14:paraId="6F3532DA" w14:textId="3682AC4C" w:rsidR="00884DA9" w:rsidRDefault="00442966" w:rsidP="00EA27A3">
      <w:pPr>
        <w:pStyle w:val="Bullet1"/>
        <w:spacing w:before="0" w:after="0"/>
      </w:pPr>
      <w:r>
        <w:t>p</w:t>
      </w:r>
      <w:r w:rsidR="00884DA9">
        <w:t>lanning, developing and refining project components</w:t>
      </w:r>
      <w:r>
        <w:t>;</w:t>
      </w:r>
    </w:p>
    <w:p w14:paraId="365287DC" w14:textId="77777777" w:rsidR="00B140A7" w:rsidRDefault="00442966" w:rsidP="00EA27A3">
      <w:pPr>
        <w:pStyle w:val="Bullet1"/>
        <w:spacing w:before="0" w:after="0"/>
      </w:pPr>
      <w:r>
        <w:t xml:space="preserve">monitoring and evaluation activities including to </w:t>
      </w:r>
      <w:r w:rsidR="00884DA9">
        <w:t xml:space="preserve">support </w:t>
      </w:r>
      <w:r>
        <w:t xml:space="preserve">reporting </w:t>
      </w:r>
      <w:r w:rsidR="00884DA9">
        <w:t>and continuous improvement</w:t>
      </w:r>
      <w:r w:rsidR="00B140A7">
        <w:t xml:space="preserve">; and </w:t>
      </w:r>
    </w:p>
    <w:p w14:paraId="66ECBA1F" w14:textId="23059FAE" w:rsidR="00884DA9" w:rsidRDefault="00B140A7" w:rsidP="00EA27A3">
      <w:pPr>
        <w:pStyle w:val="Bullet1"/>
        <w:spacing w:before="0" w:after="0"/>
      </w:pPr>
      <w:r w:rsidRPr="00B140A7">
        <w:t>remuneration</w:t>
      </w:r>
      <w:r>
        <w:t xml:space="preserve"> </w:t>
      </w:r>
      <w:r w:rsidRPr="00B140A7">
        <w:t>for Aboriginal and Torres Strait Islander cultural advisers, Elders or community representatives contributing cultural knowledge, governance, advice or oversight</w:t>
      </w:r>
      <w:r>
        <w:t>.</w:t>
      </w:r>
    </w:p>
    <w:p w14:paraId="00BA7DC8" w14:textId="77777777" w:rsidR="00442966" w:rsidRDefault="00442966" w:rsidP="00442966">
      <w:pPr>
        <w:pStyle w:val="Bullet1"/>
        <w:numPr>
          <w:ilvl w:val="0"/>
          <w:numId w:val="0"/>
        </w:numPr>
        <w:spacing w:before="0" w:after="0"/>
        <w:ind w:left="1069"/>
      </w:pPr>
    </w:p>
    <w:p w14:paraId="59446042" w14:textId="30782262" w:rsidR="00B140A7" w:rsidRPr="00B140A7" w:rsidRDefault="00D34D69" w:rsidP="00D55DF7">
      <w:pPr>
        <w:pStyle w:val="Bullet1"/>
        <w:numPr>
          <w:ilvl w:val="0"/>
          <w:numId w:val="0"/>
        </w:numPr>
        <w:spacing w:before="0" w:after="0"/>
        <w:ind w:left="709"/>
      </w:pPr>
      <w:r w:rsidRPr="00D34D69">
        <w:t>While reasonable wages and on</w:t>
      </w:r>
      <w:r w:rsidRPr="00442966">
        <w:rPr>
          <w:rFonts w:ascii="Cambria Math" w:hAnsi="Cambria Math" w:cs="Cambria Math"/>
        </w:rPr>
        <w:t>‑</w:t>
      </w:r>
      <w:r w:rsidRPr="00D34D69">
        <w:t>costs may be included where they are necessary to deliver the project, applications are expected to be learner</w:t>
      </w:r>
      <w:r w:rsidRPr="00442966">
        <w:rPr>
          <w:rFonts w:ascii="Cambria Math" w:hAnsi="Cambria Math" w:cs="Cambria Math"/>
        </w:rPr>
        <w:t>‑</w:t>
      </w:r>
      <w:r w:rsidRPr="00D34D69">
        <w:t xml:space="preserve">focused, with the majority of requested funding </w:t>
      </w:r>
      <w:r w:rsidR="00442966">
        <w:t xml:space="preserve">to support </w:t>
      </w:r>
      <w:r w:rsidRPr="00D34D69">
        <w:t>participant outcomes, rather than coordination or administration.</w:t>
      </w:r>
    </w:p>
    <w:p w14:paraId="5FE1734F" w14:textId="77777777" w:rsidR="00442966" w:rsidRDefault="00442966" w:rsidP="00D55DF7">
      <w:pPr>
        <w:pStyle w:val="Bullet1"/>
        <w:numPr>
          <w:ilvl w:val="0"/>
          <w:numId w:val="0"/>
        </w:numPr>
        <w:spacing w:before="0" w:after="0"/>
      </w:pPr>
    </w:p>
    <w:p w14:paraId="0D0BBD74" w14:textId="77777777" w:rsidR="00D55DF7" w:rsidRDefault="00D55DF7" w:rsidP="00D55DF7">
      <w:pPr>
        <w:pStyle w:val="Bullet1"/>
        <w:numPr>
          <w:ilvl w:val="0"/>
          <w:numId w:val="0"/>
        </w:numPr>
        <w:spacing w:before="0" w:after="0"/>
        <w:ind w:left="709"/>
        <w:rPr>
          <w:b/>
          <w:bCs/>
        </w:rPr>
      </w:pPr>
      <w:r w:rsidRPr="00ED2190">
        <w:rPr>
          <w:b/>
          <w:bCs/>
        </w:rPr>
        <w:t>Acknowledgement of cultural load</w:t>
      </w:r>
    </w:p>
    <w:p w14:paraId="166FC630" w14:textId="77777777" w:rsidR="00D55DF7" w:rsidRPr="00B140A7" w:rsidRDefault="00D55DF7" w:rsidP="00D55DF7">
      <w:pPr>
        <w:pStyle w:val="Bullet1"/>
        <w:numPr>
          <w:ilvl w:val="0"/>
          <w:numId w:val="0"/>
        </w:numPr>
        <w:spacing w:before="0" w:after="0"/>
        <w:ind w:left="709"/>
      </w:pPr>
      <w:r w:rsidRPr="00ED2190">
        <w:t xml:space="preserve">In designing and delivering projects under this </w:t>
      </w:r>
      <w:r>
        <w:t xml:space="preserve">Grants </w:t>
      </w:r>
      <w:r w:rsidRPr="00ED2190">
        <w:t>Program, it is important to be mindful of cultural load. Activities involving consultation, engagement, cultural advice, reporting and evaluation can create cumulative demands on Aboriginal and Torres Strait Islander staff and organisations if not carefully planned and resourced. The ACT Government recognises its responsibility to mitigate this through early planning, shared responsibility, appropriate resourcing and flexible implementation.</w:t>
      </w:r>
    </w:p>
    <w:p w14:paraId="0A359C02" w14:textId="77777777" w:rsidR="00D55DF7" w:rsidRDefault="00D55DF7" w:rsidP="00D55DF7">
      <w:pPr>
        <w:pStyle w:val="Bullet1"/>
        <w:numPr>
          <w:ilvl w:val="0"/>
          <w:numId w:val="0"/>
        </w:numPr>
        <w:spacing w:before="0" w:after="0"/>
      </w:pPr>
    </w:p>
    <w:p w14:paraId="6B992777" w14:textId="77777777" w:rsidR="00D55DF7" w:rsidRDefault="00D55DF7">
      <w:pPr>
        <w:pStyle w:val="Bullet1"/>
        <w:numPr>
          <w:ilvl w:val="0"/>
          <w:numId w:val="0"/>
        </w:numPr>
        <w:spacing w:before="0" w:after="0"/>
      </w:pPr>
    </w:p>
    <w:p w14:paraId="084FE63E" w14:textId="0C91CEFD" w:rsidR="000F653A" w:rsidRDefault="000F653A" w:rsidP="00EA27A3">
      <w:pPr>
        <w:pStyle w:val="Heading2"/>
        <w:spacing w:before="0" w:after="0"/>
      </w:pPr>
      <w:bookmarkStart w:id="27" w:name="_Toc224126079"/>
      <w:bookmarkStart w:id="28" w:name="_Hlk15554337"/>
      <w:r w:rsidRPr="00681E86">
        <w:t xml:space="preserve">What will not be considered for </w:t>
      </w:r>
      <w:r w:rsidR="00B37E87" w:rsidRPr="00681E86">
        <w:t>f</w:t>
      </w:r>
      <w:r w:rsidRPr="00681E86">
        <w:t>unding</w:t>
      </w:r>
      <w:bookmarkEnd w:id="27"/>
    </w:p>
    <w:p w14:paraId="5DBF7E8A" w14:textId="5586977E" w:rsidR="00A60650" w:rsidRDefault="00362B40" w:rsidP="00EA27A3">
      <w:pPr>
        <w:pStyle w:val="Bullet1"/>
        <w:spacing w:before="0" w:after="0"/>
      </w:pPr>
      <w:r>
        <w:t>a</w:t>
      </w:r>
      <w:r w:rsidR="00A60650">
        <w:t>n applicant’s existing services, unless additional outcomes are clearly demonstrated</w:t>
      </w:r>
      <w:r>
        <w:t>;</w:t>
      </w:r>
    </w:p>
    <w:p w14:paraId="1666547E" w14:textId="3C6C7BE7" w:rsidR="00A60650" w:rsidRDefault="00362B40" w:rsidP="00EA27A3">
      <w:pPr>
        <w:pStyle w:val="Bullet1"/>
        <w:spacing w:before="0" w:after="0"/>
      </w:pPr>
      <w:r>
        <w:t>a</w:t>
      </w:r>
      <w:r w:rsidR="00A60650">
        <w:t>ctivities that duplicate existing funded services or supports</w:t>
      </w:r>
      <w:r w:rsidR="001608F9">
        <w:t xml:space="preserve"> (this includes services provided by</w:t>
      </w:r>
      <w:r w:rsidR="001608F9" w:rsidRPr="001608F9">
        <w:t xml:space="preserve"> </w:t>
      </w:r>
      <w:r w:rsidR="001608F9">
        <w:t>Apprentice Connect Australia Providers);</w:t>
      </w:r>
    </w:p>
    <w:p w14:paraId="6EC42FE0" w14:textId="0811A6FA" w:rsidR="00A60650" w:rsidRDefault="00362B40" w:rsidP="00EA27A3">
      <w:pPr>
        <w:pStyle w:val="Bullet1"/>
        <w:spacing w:before="0" w:after="0"/>
      </w:pPr>
      <w:r>
        <w:t>e</w:t>
      </w:r>
      <w:r w:rsidR="00A60650">
        <w:t>xpenses incurred prior to signing the Deed of Grant or requests for retrospective funding</w:t>
      </w:r>
      <w:r>
        <w:t>;</w:t>
      </w:r>
    </w:p>
    <w:p w14:paraId="2BE33EDA" w14:textId="27EA5D7E" w:rsidR="00310E62" w:rsidRDefault="00310E62" w:rsidP="00EA27A3">
      <w:pPr>
        <w:pStyle w:val="Bullet1"/>
        <w:spacing w:before="0" w:after="0"/>
      </w:pPr>
      <w:r>
        <w:lastRenderedPageBreak/>
        <w:t>wages and financial incentives for participants;</w:t>
      </w:r>
    </w:p>
    <w:p w14:paraId="776D96DD" w14:textId="47974A31" w:rsidR="00A60650" w:rsidRDefault="00362B40" w:rsidP="00EA27A3">
      <w:pPr>
        <w:pStyle w:val="Bullet1"/>
        <w:spacing w:before="0" w:after="0"/>
      </w:pPr>
      <w:r>
        <w:t>c</w:t>
      </w:r>
      <w:r w:rsidR="00A60650">
        <w:t xml:space="preserve">apital </w:t>
      </w:r>
      <w:r w:rsidR="002A45FA">
        <w:t>expenses</w:t>
      </w:r>
      <w:r w:rsidR="00CD61A5">
        <w:t xml:space="preserve"> </w:t>
      </w:r>
      <w:r w:rsidR="00A60650">
        <w:t>intended for ongoing organisational operations beyond the project scope</w:t>
      </w:r>
      <w:r>
        <w:t>;</w:t>
      </w:r>
    </w:p>
    <w:p w14:paraId="42418B1B" w14:textId="5E4AFB65" w:rsidR="00A60650" w:rsidRDefault="00362B40" w:rsidP="00EA27A3">
      <w:pPr>
        <w:pStyle w:val="Bullet1"/>
        <w:spacing w:before="0" w:after="0"/>
      </w:pPr>
      <w:r>
        <w:t>e</w:t>
      </w:r>
      <w:r w:rsidR="00A60650">
        <w:t xml:space="preserve">xcessive </w:t>
      </w:r>
      <w:r w:rsidR="00E82F5D">
        <w:t xml:space="preserve">or unreasonable </w:t>
      </w:r>
      <w:r w:rsidR="00A60650">
        <w:t>administration or overhead costs</w:t>
      </w:r>
      <w:r>
        <w:t>; and</w:t>
      </w:r>
    </w:p>
    <w:p w14:paraId="2BDBACE4" w14:textId="45D06758" w:rsidR="00A60650" w:rsidRDefault="00362B40" w:rsidP="00EA27A3">
      <w:pPr>
        <w:pStyle w:val="Bullet1"/>
        <w:spacing w:before="0" w:after="0"/>
      </w:pPr>
      <w:r>
        <w:t>a</w:t>
      </w:r>
      <w:r w:rsidR="00A60650">
        <w:t xml:space="preserve">ctivities primarily for marketing or promotion of an RTO or employer (unless directly tied to </w:t>
      </w:r>
      <w:r w:rsidR="008B767C">
        <w:t xml:space="preserve">project </w:t>
      </w:r>
      <w:r w:rsidR="00A60650">
        <w:t>participant recruitment).</w:t>
      </w:r>
    </w:p>
    <w:p w14:paraId="565F9975" w14:textId="77777777" w:rsidR="004A571D" w:rsidRDefault="004A571D" w:rsidP="004A571D">
      <w:pPr>
        <w:pStyle w:val="Bullet1"/>
        <w:numPr>
          <w:ilvl w:val="0"/>
          <w:numId w:val="0"/>
        </w:numPr>
        <w:spacing w:before="0" w:after="0"/>
        <w:ind w:left="1069"/>
      </w:pPr>
    </w:p>
    <w:p w14:paraId="5DEA92AE" w14:textId="5ABBDF7C" w:rsidR="00E93854" w:rsidRPr="00681E86" w:rsidRDefault="000624B8" w:rsidP="00EA27A3">
      <w:pPr>
        <w:pStyle w:val="Heading2"/>
        <w:spacing w:before="0" w:after="0"/>
      </w:pPr>
      <w:bookmarkStart w:id="29" w:name="_Toc224126080"/>
      <w:bookmarkStart w:id="30" w:name="_Hlk15630328"/>
      <w:bookmarkStart w:id="31" w:name="_Hlk15554412"/>
      <w:bookmarkEnd w:id="28"/>
      <w:r w:rsidRPr="00681E86">
        <w:t xml:space="preserve">Application </w:t>
      </w:r>
      <w:r w:rsidR="002F2EE5" w:rsidRPr="00681E86">
        <w:t>p</w:t>
      </w:r>
      <w:r w:rsidRPr="00681E86">
        <w:t>rocess</w:t>
      </w:r>
      <w:bookmarkEnd w:id="29"/>
    </w:p>
    <w:p w14:paraId="2A9C9F5C" w14:textId="2DB4C8C2" w:rsidR="00A60650" w:rsidRDefault="00A60650" w:rsidP="00EA27A3">
      <w:pPr>
        <w:spacing w:before="0" w:after="0"/>
      </w:pPr>
      <w:r>
        <w:t>Apply via the online grants portal: https://CMTEDD.smartygrants.com.au/VETCompletionsGrants</w:t>
      </w:r>
      <w:r w:rsidR="00D96E4D">
        <w:t>2026</w:t>
      </w:r>
    </w:p>
    <w:p w14:paraId="6FC63ADF" w14:textId="77777777" w:rsidR="004A571D" w:rsidRDefault="004A571D" w:rsidP="00EA27A3">
      <w:pPr>
        <w:spacing w:before="0" w:after="0"/>
        <w:rPr>
          <w:highlight w:val="yellow"/>
        </w:rPr>
      </w:pPr>
    </w:p>
    <w:p w14:paraId="559A6450" w14:textId="2753079E" w:rsidR="00A60650" w:rsidRDefault="00A60650" w:rsidP="00EA27A3">
      <w:pPr>
        <w:spacing w:before="0" w:after="0"/>
      </w:pPr>
      <w:r w:rsidRPr="00687926">
        <w:t xml:space="preserve">The portal opens 9:00am on </w:t>
      </w:r>
      <w:r w:rsidR="000E33D5" w:rsidRPr="00687926">
        <w:t>2</w:t>
      </w:r>
      <w:r w:rsidR="00D96E4D" w:rsidRPr="00687926">
        <w:t>1</w:t>
      </w:r>
      <w:r w:rsidRPr="00687926">
        <w:t xml:space="preserve"> </w:t>
      </w:r>
      <w:r w:rsidR="00D96E4D" w:rsidRPr="00687926">
        <w:t>April</w:t>
      </w:r>
      <w:r w:rsidRPr="00687926">
        <w:t xml:space="preserve"> 2026 and closes 5:00pm on </w:t>
      </w:r>
      <w:r w:rsidR="008A198A">
        <w:t>4 June</w:t>
      </w:r>
      <w:r w:rsidRPr="00687926">
        <w:t xml:space="preserve"> 2026. Late applications will not be accepted.</w:t>
      </w:r>
    </w:p>
    <w:p w14:paraId="3F77A23E" w14:textId="77777777" w:rsidR="004A571D" w:rsidRDefault="004A571D" w:rsidP="00EA27A3">
      <w:pPr>
        <w:spacing w:before="0" w:after="0"/>
      </w:pPr>
    </w:p>
    <w:p w14:paraId="1FFB5CB5" w14:textId="30E5B7A1" w:rsidR="00A509DB" w:rsidRDefault="00A60650" w:rsidP="00EA27A3">
      <w:pPr>
        <w:spacing w:before="0" w:after="0"/>
        <w:rPr>
          <w:rFonts w:cs="Calibri"/>
          <w:bCs/>
          <w:szCs w:val="24"/>
        </w:rPr>
      </w:pPr>
      <w:r>
        <w:t xml:space="preserve">Applications must be complete and correct at submission. Additional documents will not be considered unless requested by Skills Canberra or the </w:t>
      </w:r>
      <w:r w:rsidR="00A72ECF">
        <w:t>E</w:t>
      </w:r>
      <w:r>
        <w:t xml:space="preserve">valuation </w:t>
      </w:r>
      <w:r w:rsidR="00A72ECF">
        <w:t>P</w:t>
      </w:r>
      <w:r>
        <w:t>anel.</w:t>
      </w:r>
      <w:r w:rsidR="00A509DB" w:rsidRPr="00A52F04">
        <w:rPr>
          <w:rFonts w:cs="Calibri"/>
          <w:bCs/>
          <w:szCs w:val="24"/>
        </w:rPr>
        <w:t xml:space="preserve"> </w:t>
      </w:r>
    </w:p>
    <w:p w14:paraId="42229AA7" w14:textId="77777777" w:rsidR="004A571D" w:rsidRPr="00FB29B0" w:rsidRDefault="004A571D" w:rsidP="00EA27A3">
      <w:pPr>
        <w:spacing w:before="0" w:after="0"/>
      </w:pPr>
    </w:p>
    <w:p w14:paraId="092048F9" w14:textId="77777777" w:rsidR="002B08CA" w:rsidRDefault="002B08CA" w:rsidP="00EA27A3">
      <w:pPr>
        <w:pStyle w:val="Heading2"/>
        <w:spacing w:before="0" w:after="0"/>
      </w:pPr>
      <w:bookmarkStart w:id="32" w:name="_Toc224126081"/>
      <w:r w:rsidRPr="00681E86">
        <w:t>Request Extension of Application Timeline</w:t>
      </w:r>
      <w:bookmarkEnd w:id="32"/>
    </w:p>
    <w:bookmarkEnd w:id="30"/>
    <w:p w14:paraId="2A92C935" w14:textId="37580893" w:rsidR="00A60650" w:rsidRDefault="00A60650" w:rsidP="00EA27A3">
      <w:pPr>
        <w:spacing w:before="0" w:after="0"/>
        <w:rPr>
          <w:rFonts w:cs="Calibri"/>
          <w:szCs w:val="24"/>
        </w:rPr>
      </w:pPr>
      <w:r w:rsidRPr="00A60650">
        <w:rPr>
          <w:rFonts w:cs="Calibri"/>
          <w:szCs w:val="24"/>
        </w:rPr>
        <w:t xml:space="preserve">Requests for extension must be sent to </w:t>
      </w:r>
      <w:hyperlink r:id="rId27" w:history="1">
        <w:r w:rsidRPr="00F0325A">
          <w:rPr>
            <w:rStyle w:val="Hyperlink"/>
            <w:rFonts w:cs="Calibri"/>
            <w:szCs w:val="24"/>
          </w:rPr>
          <w:t>skills.projects@act.gov.au</w:t>
        </w:r>
      </w:hyperlink>
      <w:r>
        <w:rPr>
          <w:rFonts w:cs="Calibri"/>
          <w:szCs w:val="24"/>
        </w:rPr>
        <w:t xml:space="preserve"> </w:t>
      </w:r>
      <w:r w:rsidRPr="00A60650">
        <w:rPr>
          <w:rFonts w:cs="Calibri"/>
          <w:szCs w:val="24"/>
        </w:rPr>
        <w:t xml:space="preserve">at least two business days prior to the closing date. </w:t>
      </w:r>
      <w:r>
        <w:rPr>
          <w:rFonts w:cs="Calibri"/>
          <w:szCs w:val="24"/>
        </w:rPr>
        <w:t>Requests</w:t>
      </w:r>
      <w:r w:rsidRPr="00A52F04">
        <w:rPr>
          <w:rFonts w:cs="Calibri"/>
          <w:szCs w:val="24"/>
        </w:rPr>
        <w:t xml:space="preserve"> will be reviewed, and the requestor will be notified of the outcome. </w:t>
      </w:r>
    </w:p>
    <w:p w14:paraId="17F30BE3" w14:textId="77777777" w:rsidR="004A571D" w:rsidRPr="00A52F04" w:rsidRDefault="004A571D" w:rsidP="00EA27A3">
      <w:pPr>
        <w:spacing w:before="0" w:after="0"/>
        <w:rPr>
          <w:rFonts w:cs="Calibri"/>
          <w:szCs w:val="24"/>
        </w:rPr>
      </w:pPr>
    </w:p>
    <w:p w14:paraId="77A608D5" w14:textId="77777777" w:rsidR="008032C6" w:rsidRPr="00681E86" w:rsidRDefault="008032C6" w:rsidP="00EA27A3">
      <w:pPr>
        <w:pStyle w:val="Heading1"/>
        <w:spacing w:before="0" w:after="0"/>
      </w:pPr>
      <w:bookmarkStart w:id="33" w:name="_Toc224126082"/>
      <w:bookmarkEnd w:id="31"/>
      <w:r w:rsidRPr="005137A9">
        <w:t>Assessment</w:t>
      </w:r>
      <w:bookmarkEnd w:id="33"/>
    </w:p>
    <w:p w14:paraId="6252D2B8" w14:textId="1F7FCB12" w:rsidR="00A52F04" w:rsidRDefault="00A52F04" w:rsidP="00EA27A3">
      <w:pPr>
        <w:pStyle w:val="Heading2"/>
        <w:spacing w:before="0" w:after="0"/>
      </w:pPr>
      <w:bookmarkStart w:id="34" w:name="_Toc224126083"/>
      <w:r>
        <w:t>Overview of a</w:t>
      </w:r>
      <w:r w:rsidR="004A571D">
        <w:t>ssessment</w:t>
      </w:r>
      <w:r>
        <w:t xml:space="preserve"> process</w:t>
      </w:r>
      <w:bookmarkEnd w:id="34"/>
    </w:p>
    <w:p w14:paraId="3C8052A6" w14:textId="77777777" w:rsidR="004A571D" w:rsidRDefault="00A60650" w:rsidP="00EA27A3">
      <w:pPr>
        <w:spacing w:before="0" w:after="0"/>
      </w:pPr>
      <w:r w:rsidRPr="00A60650">
        <w:t xml:space="preserve">Applications are checked for eligibility (see Section 5). Eligible applications are </w:t>
      </w:r>
      <w:r w:rsidR="004A571D">
        <w:t xml:space="preserve">then </w:t>
      </w:r>
      <w:r w:rsidRPr="00A60650">
        <w:t xml:space="preserve">assessed by an Evaluation Panel chaired by a senior Skills Canberra officer. </w:t>
      </w:r>
    </w:p>
    <w:p w14:paraId="169EE511" w14:textId="77777777" w:rsidR="004A571D" w:rsidRDefault="004A571D" w:rsidP="00EA27A3">
      <w:pPr>
        <w:spacing w:before="0" w:after="0"/>
      </w:pPr>
    </w:p>
    <w:p w14:paraId="7E429EE0" w14:textId="77777777" w:rsidR="004A571D" w:rsidRDefault="00A60650" w:rsidP="00EA27A3">
      <w:pPr>
        <w:spacing w:before="0" w:after="0"/>
      </w:pPr>
      <w:r w:rsidRPr="00A60650">
        <w:t xml:space="preserve">Each application is assessed against the evaluation criteria and overall alignment with Program aims and ACT priorities. </w:t>
      </w:r>
    </w:p>
    <w:p w14:paraId="202A24DA" w14:textId="77777777" w:rsidR="004A571D" w:rsidRDefault="004A571D" w:rsidP="00EA27A3">
      <w:pPr>
        <w:spacing w:before="0" w:after="0"/>
      </w:pPr>
    </w:p>
    <w:p w14:paraId="7605BDE4" w14:textId="167F6310" w:rsidR="004A571D" w:rsidRDefault="004A571D" w:rsidP="004A571D">
      <w:pPr>
        <w:spacing w:before="0" w:after="0"/>
      </w:pPr>
      <w:r>
        <w:t>Evaluation Panel f</w:t>
      </w:r>
      <w:r w:rsidRPr="004A571D">
        <w:t xml:space="preserve">unding recommendations are provided to the Executive Branch Manager, Skills Canberra, who is the </w:t>
      </w:r>
      <w:r w:rsidR="00A72ECF">
        <w:t>D</w:t>
      </w:r>
      <w:r w:rsidRPr="004A571D">
        <w:t>elegate, for approval.</w:t>
      </w:r>
      <w:r w:rsidRPr="006E3B56">
        <w:t xml:space="preserve"> </w:t>
      </w:r>
    </w:p>
    <w:p w14:paraId="631365E1" w14:textId="77777777" w:rsidR="004A571D" w:rsidRDefault="004A571D" w:rsidP="004A571D">
      <w:pPr>
        <w:spacing w:before="0" w:after="0"/>
      </w:pPr>
    </w:p>
    <w:p w14:paraId="7CE1857F" w14:textId="5552C318" w:rsidR="004A571D" w:rsidRDefault="004A571D" w:rsidP="004A571D">
      <w:pPr>
        <w:spacing w:before="0" w:after="0"/>
      </w:pPr>
      <w:r w:rsidRPr="004A571D">
        <w:t xml:space="preserve">Approval depends on the number of applications, their relative merit, Government priorities and available funds. </w:t>
      </w:r>
    </w:p>
    <w:p w14:paraId="7E548E98" w14:textId="77777777" w:rsidR="004A571D" w:rsidRDefault="004A571D" w:rsidP="00EA27A3">
      <w:pPr>
        <w:spacing w:before="0" w:after="0"/>
      </w:pPr>
    </w:p>
    <w:p w14:paraId="6FB200B3" w14:textId="72CB5A4F" w:rsidR="00A60650" w:rsidRDefault="00A60650" w:rsidP="00EA27A3">
      <w:pPr>
        <w:spacing w:before="0" w:after="0"/>
      </w:pPr>
      <w:r w:rsidRPr="00A60650">
        <w:t>Partial funding may be offered and may require scope adjustments.</w:t>
      </w:r>
    </w:p>
    <w:p w14:paraId="6257AA1C" w14:textId="77777777" w:rsidR="00BB130B" w:rsidRDefault="00BB130B" w:rsidP="00EA27A3">
      <w:pPr>
        <w:spacing w:before="0" w:after="0"/>
      </w:pPr>
    </w:p>
    <w:p w14:paraId="262D96CE" w14:textId="125DE334" w:rsidR="005044F6" w:rsidRPr="004A571D" w:rsidRDefault="005044F6" w:rsidP="004A571D">
      <w:pPr>
        <w:pStyle w:val="Heading2"/>
        <w:spacing w:before="0" w:after="0"/>
      </w:pPr>
      <w:bookmarkStart w:id="35" w:name="_Toc224126084"/>
      <w:r w:rsidRPr="00BB130B">
        <w:t>Evaluation Criteria</w:t>
      </w:r>
      <w:bookmarkEnd w:id="35"/>
      <w:r w:rsidRPr="00BB130B">
        <w:t xml:space="preserve"> </w:t>
      </w:r>
    </w:p>
    <w:p w14:paraId="44CF124A" w14:textId="0561265F" w:rsidR="00A509DB" w:rsidRDefault="00A509DB" w:rsidP="00EA27A3">
      <w:pPr>
        <w:pStyle w:val="Example"/>
        <w:spacing w:before="0" w:after="0"/>
        <w:rPr>
          <w:color w:val="auto"/>
        </w:rPr>
      </w:pPr>
    </w:p>
    <w:tbl>
      <w:tblPr>
        <w:tblW w:w="48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32"/>
        <w:gridCol w:w="6863"/>
      </w:tblGrid>
      <w:tr w:rsidR="00FB29B0" w14:paraId="051BD502" w14:textId="77777777">
        <w:trPr>
          <w:trHeight w:val="514"/>
        </w:trPr>
        <w:tc>
          <w:tcPr>
            <w:tcW w:w="5000" w:type="pct"/>
            <w:gridSpan w:val="2"/>
            <w:tcBorders>
              <w:top w:val="single" w:sz="4" w:space="0" w:color="auto"/>
              <w:left w:val="single" w:sz="4" w:space="0" w:color="auto"/>
              <w:bottom w:val="single" w:sz="4" w:space="0" w:color="auto"/>
              <w:right w:val="single" w:sz="4" w:space="0" w:color="auto"/>
            </w:tcBorders>
            <w:shd w:val="clear" w:color="auto" w:fill="AB4399"/>
            <w:hideMark/>
          </w:tcPr>
          <w:p w14:paraId="570565B6" w14:textId="62F2CD86" w:rsidR="00FB29B0" w:rsidRDefault="00E62D83" w:rsidP="00EA27A3">
            <w:pPr>
              <w:widowControl w:val="0"/>
              <w:autoSpaceDE w:val="0"/>
              <w:autoSpaceDN w:val="0"/>
              <w:spacing w:before="0" w:after="0"/>
              <w:ind w:left="125"/>
              <w:jc w:val="center"/>
              <w:rPr>
                <w:rFonts w:asciiTheme="minorHAnsi" w:eastAsia="Source Sans Pro Light" w:hAnsiTheme="minorHAnsi" w:cstheme="minorHAnsi"/>
                <w:b/>
                <w:bCs/>
                <w:color w:val="FFFFFF"/>
                <w:sz w:val="28"/>
                <w:szCs w:val="28"/>
                <w:lang w:eastAsia="en-US" w:bidi="en-AU"/>
              </w:rPr>
            </w:pPr>
            <w:r>
              <w:rPr>
                <w:rFonts w:asciiTheme="minorHAnsi" w:eastAsia="Source Sans Pro Light" w:hAnsiTheme="minorHAnsi" w:cstheme="minorHAnsi"/>
                <w:b/>
                <w:bCs/>
                <w:color w:val="FFFFFF"/>
                <w:sz w:val="28"/>
                <w:szCs w:val="28"/>
                <w:lang w:eastAsia="en-US" w:bidi="en-AU"/>
              </w:rPr>
              <w:t>Evaluation</w:t>
            </w:r>
            <w:r w:rsidR="00FB29B0">
              <w:rPr>
                <w:rFonts w:asciiTheme="minorHAnsi" w:eastAsia="Source Sans Pro Light" w:hAnsiTheme="minorHAnsi" w:cstheme="minorHAnsi"/>
                <w:b/>
                <w:bCs/>
                <w:color w:val="FFFFFF"/>
                <w:sz w:val="28"/>
                <w:szCs w:val="28"/>
                <w:lang w:eastAsia="en-US" w:bidi="en-AU"/>
              </w:rPr>
              <w:t xml:space="preserve"> </w:t>
            </w:r>
            <w:r>
              <w:rPr>
                <w:rFonts w:asciiTheme="minorHAnsi" w:eastAsia="Source Sans Pro Light" w:hAnsiTheme="minorHAnsi" w:cstheme="minorHAnsi"/>
                <w:b/>
                <w:bCs/>
                <w:color w:val="FFFFFF"/>
                <w:sz w:val="28"/>
                <w:szCs w:val="28"/>
                <w:lang w:eastAsia="en-US" w:bidi="en-AU"/>
              </w:rPr>
              <w:t>C</w:t>
            </w:r>
            <w:r w:rsidR="00FB29B0">
              <w:rPr>
                <w:rFonts w:asciiTheme="minorHAnsi" w:eastAsia="Source Sans Pro Light" w:hAnsiTheme="minorHAnsi" w:cstheme="minorHAnsi"/>
                <w:b/>
                <w:bCs/>
                <w:color w:val="FFFFFF"/>
                <w:sz w:val="28"/>
                <w:szCs w:val="28"/>
                <w:lang w:eastAsia="en-US" w:bidi="en-AU"/>
              </w:rPr>
              <w:t>riteria</w:t>
            </w:r>
          </w:p>
        </w:tc>
      </w:tr>
      <w:tr w:rsidR="000F4FDE" w14:paraId="12FFA356" w14:textId="77777777">
        <w:trPr>
          <w:trHeight w:val="876"/>
        </w:trPr>
        <w:tc>
          <w:tcPr>
            <w:tcW w:w="949" w:type="pct"/>
            <w:tcBorders>
              <w:top w:val="single" w:sz="4" w:space="0" w:color="auto"/>
              <w:left w:val="single" w:sz="4" w:space="0" w:color="auto"/>
              <w:bottom w:val="single" w:sz="4" w:space="0" w:color="auto"/>
              <w:right w:val="single" w:sz="4" w:space="0" w:color="auto"/>
            </w:tcBorders>
            <w:hideMark/>
          </w:tcPr>
          <w:p w14:paraId="17C751B2" w14:textId="1A753FA0" w:rsidR="00FB29B0" w:rsidRDefault="00FB29B0" w:rsidP="00EA27A3">
            <w:pPr>
              <w:widowControl w:val="0"/>
              <w:autoSpaceDE w:val="0"/>
              <w:autoSpaceDN w:val="0"/>
              <w:spacing w:before="0" w:after="0"/>
              <w:ind w:left="125" w:right="119"/>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bCs/>
                <w:szCs w:val="22"/>
                <w:lang w:eastAsia="en-US" w:bidi="en-AU"/>
              </w:rPr>
              <w:t>Project design (25%)</w:t>
            </w:r>
          </w:p>
        </w:tc>
        <w:tc>
          <w:tcPr>
            <w:tcW w:w="4051" w:type="pct"/>
            <w:tcBorders>
              <w:top w:val="single" w:sz="4" w:space="0" w:color="auto"/>
              <w:left w:val="single" w:sz="4" w:space="0" w:color="auto"/>
              <w:bottom w:val="single" w:sz="4" w:space="0" w:color="auto"/>
              <w:right w:val="single" w:sz="4" w:space="0" w:color="auto"/>
            </w:tcBorders>
            <w:hideMark/>
          </w:tcPr>
          <w:p w14:paraId="2EEDE284" w14:textId="6F8CBCE9" w:rsidR="00D92BEC" w:rsidRDefault="00D92BEC"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D92BEC">
              <w:rPr>
                <w:rFonts w:asciiTheme="minorHAnsi" w:eastAsia="Source Sans Pro Light" w:hAnsiTheme="minorHAnsi" w:cstheme="minorHAnsi"/>
                <w:szCs w:val="22"/>
                <w:lang w:eastAsia="en-US" w:bidi="en-AU"/>
              </w:rPr>
              <w:t>Assesses whether the proposal clearly demonstrates expected benefits and aligns with the Program Objective (Section 2) and Outcomes (Section 3).</w:t>
            </w:r>
          </w:p>
          <w:p w14:paraId="56FF0733" w14:textId="77777777" w:rsidR="00D92BEC" w:rsidRDefault="00D92BEC"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p>
          <w:p w14:paraId="6A38D434" w14:textId="2CB051BE" w:rsidR="00CA256B" w:rsidRPr="00CA256B" w:rsidRDefault="00CA256B"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CA256B">
              <w:rPr>
                <w:rFonts w:asciiTheme="minorHAnsi" w:eastAsia="Source Sans Pro Light" w:hAnsiTheme="minorHAnsi" w:cstheme="minorHAnsi"/>
                <w:szCs w:val="22"/>
                <w:lang w:eastAsia="en-US" w:bidi="en-AU"/>
              </w:rPr>
              <w:t>Assessment</w:t>
            </w:r>
            <w:r w:rsidR="00A60650">
              <w:rPr>
                <w:rFonts w:asciiTheme="minorHAnsi" w:eastAsia="Source Sans Pro Light" w:hAnsiTheme="minorHAnsi" w:cstheme="minorHAnsi"/>
                <w:szCs w:val="22"/>
                <w:lang w:eastAsia="en-US" w:bidi="en-AU"/>
              </w:rPr>
              <w:t xml:space="preserve"> considers</w:t>
            </w:r>
            <w:r w:rsidRPr="00CA256B">
              <w:rPr>
                <w:rFonts w:asciiTheme="minorHAnsi" w:eastAsia="Source Sans Pro Light" w:hAnsiTheme="minorHAnsi" w:cstheme="minorHAnsi"/>
                <w:szCs w:val="22"/>
                <w:lang w:eastAsia="en-US" w:bidi="en-AU"/>
              </w:rPr>
              <w:t>:</w:t>
            </w:r>
          </w:p>
          <w:p w14:paraId="702E043A" w14:textId="77777777" w:rsidR="00D92BEC" w:rsidRDefault="00D92BEC"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D92BEC">
              <w:rPr>
                <w:rFonts w:asciiTheme="minorHAnsi" w:eastAsia="Source Sans Pro Light" w:hAnsiTheme="minorHAnsi" w:cstheme="minorHAnsi"/>
                <w:szCs w:val="22"/>
                <w:lang w:eastAsia="en-US" w:bidi="en-AU"/>
              </w:rPr>
              <w:t>the project’s likely contribution to achieving Program Objectives and Outcomes;</w:t>
            </w:r>
          </w:p>
          <w:p w14:paraId="17E31296" w14:textId="32A525F9" w:rsidR="00FB0BEE" w:rsidRPr="00D92BEC" w:rsidRDefault="00FB0BEE"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FB0BEE">
              <w:rPr>
                <w:rFonts w:asciiTheme="minorHAnsi" w:eastAsia="Source Sans Pro Light" w:hAnsiTheme="minorHAnsi" w:cstheme="minorHAnsi"/>
                <w:szCs w:val="22"/>
                <w:lang w:eastAsia="en-US" w:bidi="en-AU"/>
              </w:rPr>
              <w:t>whether the project incorporates lived experience</w:t>
            </w:r>
            <w:r>
              <w:rPr>
                <w:rFonts w:asciiTheme="minorHAnsi" w:eastAsia="Source Sans Pro Light" w:hAnsiTheme="minorHAnsi" w:cstheme="minorHAnsi"/>
                <w:szCs w:val="22"/>
                <w:lang w:eastAsia="en-US" w:bidi="en-AU"/>
              </w:rPr>
              <w:t xml:space="preserve"> and</w:t>
            </w:r>
            <w:r w:rsidRPr="00FB0BEE">
              <w:rPr>
                <w:rFonts w:asciiTheme="minorHAnsi" w:eastAsia="Source Sans Pro Light" w:hAnsiTheme="minorHAnsi" w:cstheme="minorHAnsi"/>
                <w:szCs w:val="22"/>
                <w:lang w:eastAsia="en-US" w:bidi="en-AU"/>
              </w:rPr>
              <w:t xml:space="preserve"> </w:t>
            </w:r>
            <w:r w:rsidRPr="00FB0BEE">
              <w:rPr>
                <w:rFonts w:asciiTheme="minorHAnsi" w:eastAsia="Source Sans Pro Light" w:hAnsiTheme="minorHAnsi" w:cstheme="minorHAnsi"/>
                <w:szCs w:val="22"/>
                <w:lang w:eastAsia="en-US" w:bidi="en-AU"/>
              </w:rPr>
              <w:lastRenderedPageBreak/>
              <w:t>on</w:t>
            </w:r>
            <w:r w:rsidRPr="00FB0BEE">
              <w:rPr>
                <w:rFonts w:ascii="Cambria Math" w:eastAsia="Source Sans Pro Light" w:hAnsi="Cambria Math" w:cs="Cambria Math"/>
                <w:szCs w:val="22"/>
                <w:lang w:eastAsia="en-US" w:bidi="en-AU"/>
              </w:rPr>
              <w:t>‑</w:t>
            </w:r>
            <w:r w:rsidRPr="00FB0BEE">
              <w:rPr>
                <w:rFonts w:asciiTheme="minorHAnsi" w:eastAsia="Source Sans Pro Light" w:hAnsiTheme="minorHAnsi" w:cstheme="minorHAnsi"/>
                <w:szCs w:val="22"/>
                <w:lang w:eastAsia="en-US" w:bidi="en-AU"/>
              </w:rPr>
              <w:t>the</w:t>
            </w:r>
            <w:r w:rsidRPr="00FB0BEE">
              <w:rPr>
                <w:rFonts w:ascii="Cambria Math" w:eastAsia="Source Sans Pro Light" w:hAnsi="Cambria Math" w:cs="Cambria Math"/>
                <w:szCs w:val="22"/>
                <w:lang w:eastAsia="en-US" w:bidi="en-AU"/>
              </w:rPr>
              <w:t>‑</w:t>
            </w:r>
            <w:r w:rsidRPr="00FB0BEE">
              <w:rPr>
                <w:rFonts w:asciiTheme="minorHAnsi" w:eastAsia="Source Sans Pro Light" w:hAnsiTheme="minorHAnsi" w:cstheme="minorHAnsi"/>
                <w:szCs w:val="22"/>
                <w:lang w:eastAsia="en-US" w:bidi="en-AU"/>
              </w:rPr>
              <w:t>ground insights</w:t>
            </w:r>
            <w:r>
              <w:rPr>
                <w:rFonts w:asciiTheme="minorHAnsi" w:eastAsia="Source Sans Pro Light" w:hAnsiTheme="minorHAnsi" w:cstheme="minorHAnsi"/>
                <w:szCs w:val="22"/>
                <w:lang w:eastAsia="en-US" w:bidi="en-AU"/>
              </w:rPr>
              <w:t>;</w:t>
            </w:r>
          </w:p>
          <w:p w14:paraId="30651025" w14:textId="7668A190" w:rsidR="00D92BEC" w:rsidRPr="00D92BEC" w:rsidRDefault="00D92BEC"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D92BEC">
              <w:rPr>
                <w:rFonts w:asciiTheme="minorHAnsi" w:eastAsia="Source Sans Pro Light" w:hAnsiTheme="minorHAnsi" w:cstheme="minorHAnsi"/>
                <w:szCs w:val="22"/>
                <w:lang w:eastAsia="en-US" w:bidi="en-AU"/>
              </w:rPr>
              <w:t xml:space="preserve">a clear and logical project model, with key activities and intended impacts </w:t>
            </w:r>
            <w:r w:rsidR="0002242F" w:rsidRPr="00D92BEC">
              <w:rPr>
                <w:rFonts w:asciiTheme="minorHAnsi" w:eastAsia="Source Sans Pro Light" w:hAnsiTheme="minorHAnsi" w:cstheme="minorHAnsi"/>
                <w:szCs w:val="22"/>
                <w:lang w:eastAsia="en-US" w:bidi="en-AU"/>
              </w:rPr>
              <w:t>well-articulated</w:t>
            </w:r>
            <w:r w:rsidRPr="00D92BEC">
              <w:rPr>
                <w:rFonts w:asciiTheme="minorHAnsi" w:eastAsia="Source Sans Pro Light" w:hAnsiTheme="minorHAnsi" w:cstheme="minorHAnsi"/>
                <w:szCs w:val="22"/>
                <w:lang w:eastAsia="en-US" w:bidi="en-AU"/>
              </w:rPr>
              <w:t>;</w:t>
            </w:r>
          </w:p>
          <w:p w14:paraId="302924A6" w14:textId="3DB280CD" w:rsidR="00D92BEC" w:rsidRPr="00D92BEC" w:rsidRDefault="00D92BEC"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D92BEC">
              <w:rPr>
                <w:rFonts w:asciiTheme="minorHAnsi" w:eastAsia="Source Sans Pro Light" w:hAnsiTheme="minorHAnsi" w:cstheme="minorHAnsi"/>
                <w:szCs w:val="22"/>
                <w:lang w:eastAsia="en-US" w:bidi="en-AU"/>
              </w:rPr>
              <w:t>an innovative approach that does not duplicate existing services or funding;</w:t>
            </w:r>
          </w:p>
          <w:p w14:paraId="55B916FC" w14:textId="7EF1301B" w:rsidR="0086043C" w:rsidRDefault="00D92BEC"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D92BEC">
              <w:rPr>
                <w:rFonts w:asciiTheme="minorHAnsi" w:eastAsia="Source Sans Pro Light" w:hAnsiTheme="minorHAnsi" w:cstheme="minorHAnsi"/>
                <w:szCs w:val="22"/>
                <w:lang w:eastAsia="en-US" w:bidi="en-AU"/>
              </w:rPr>
              <w:t>targeted, tailored and learner</w:t>
            </w:r>
            <w:r w:rsidRPr="00D92BEC">
              <w:rPr>
                <w:rFonts w:ascii="Cambria Math" w:eastAsia="Source Sans Pro Light" w:hAnsi="Cambria Math" w:cs="Cambria Math"/>
                <w:szCs w:val="22"/>
                <w:lang w:eastAsia="en-US" w:bidi="en-AU"/>
              </w:rPr>
              <w:t>‑</w:t>
            </w:r>
            <w:r w:rsidRPr="00D92BEC">
              <w:rPr>
                <w:rFonts w:asciiTheme="minorHAnsi" w:eastAsia="Source Sans Pro Light" w:hAnsiTheme="minorHAnsi" w:cstheme="minorHAnsi"/>
                <w:szCs w:val="22"/>
                <w:lang w:eastAsia="en-US" w:bidi="en-AU"/>
              </w:rPr>
              <w:t xml:space="preserve">centric approaches that address the specific barriers and needs of priority </w:t>
            </w:r>
            <w:r w:rsidR="0029248D">
              <w:rPr>
                <w:rFonts w:asciiTheme="minorHAnsi" w:eastAsia="Source Sans Pro Light" w:hAnsiTheme="minorHAnsi" w:cstheme="minorHAnsi"/>
                <w:szCs w:val="22"/>
                <w:lang w:eastAsia="en-US" w:bidi="en-AU"/>
              </w:rPr>
              <w:t>group</w:t>
            </w:r>
            <w:r w:rsidRPr="00D92BEC">
              <w:rPr>
                <w:rFonts w:asciiTheme="minorHAnsi" w:eastAsia="Source Sans Pro Light" w:hAnsiTheme="minorHAnsi" w:cstheme="minorHAnsi"/>
                <w:szCs w:val="22"/>
                <w:lang w:eastAsia="en-US" w:bidi="en-AU"/>
              </w:rPr>
              <w:t>s, rather than relying on broad, one</w:t>
            </w:r>
            <w:r w:rsidRPr="00D92BEC">
              <w:rPr>
                <w:rFonts w:ascii="Cambria Math" w:eastAsia="Source Sans Pro Light" w:hAnsi="Cambria Math" w:cs="Cambria Math"/>
                <w:szCs w:val="22"/>
                <w:lang w:eastAsia="en-US" w:bidi="en-AU"/>
              </w:rPr>
              <w:t>‑</w:t>
            </w:r>
            <w:r w:rsidRPr="00D92BEC">
              <w:rPr>
                <w:rFonts w:asciiTheme="minorHAnsi" w:eastAsia="Source Sans Pro Light" w:hAnsiTheme="minorHAnsi" w:cstheme="minorHAnsi"/>
                <w:szCs w:val="22"/>
                <w:lang w:eastAsia="en-US" w:bidi="en-AU"/>
              </w:rPr>
              <w:t>size</w:t>
            </w:r>
            <w:r w:rsidRPr="00D92BEC">
              <w:rPr>
                <w:rFonts w:ascii="Cambria Math" w:eastAsia="Source Sans Pro Light" w:hAnsi="Cambria Math" w:cs="Cambria Math"/>
                <w:szCs w:val="22"/>
                <w:lang w:eastAsia="en-US" w:bidi="en-AU"/>
              </w:rPr>
              <w:t>‑</w:t>
            </w:r>
            <w:r w:rsidRPr="00D92BEC">
              <w:rPr>
                <w:rFonts w:asciiTheme="minorHAnsi" w:eastAsia="Source Sans Pro Light" w:hAnsiTheme="minorHAnsi" w:cstheme="minorHAnsi"/>
                <w:szCs w:val="22"/>
                <w:lang w:eastAsia="en-US" w:bidi="en-AU"/>
              </w:rPr>
              <w:t>fits</w:t>
            </w:r>
            <w:r w:rsidRPr="00D92BEC">
              <w:rPr>
                <w:rFonts w:ascii="Cambria Math" w:eastAsia="Source Sans Pro Light" w:hAnsi="Cambria Math" w:cs="Cambria Math"/>
                <w:szCs w:val="22"/>
                <w:lang w:eastAsia="en-US" w:bidi="en-AU"/>
              </w:rPr>
              <w:t>‑</w:t>
            </w:r>
            <w:r w:rsidRPr="00D92BEC">
              <w:rPr>
                <w:rFonts w:asciiTheme="minorHAnsi" w:eastAsia="Source Sans Pro Light" w:hAnsiTheme="minorHAnsi" w:cstheme="minorHAnsi"/>
                <w:szCs w:val="22"/>
                <w:lang w:eastAsia="en-US" w:bidi="en-AU"/>
              </w:rPr>
              <w:t>all models</w:t>
            </w:r>
            <w:r w:rsidR="00C55CA5">
              <w:rPr>
                <w:rFonts w:asciiTheme="minorHAnsi" w:eastAsia="Source Sans Pro Light" w:hAnsiTheme="minorHAnsi" w:cstheme="minorHAnsi"/>
                <w:szCs w:val="22"/>
                <w:lang w:eastAsia="en-US" w:bidi="en-AU"/>
              </w:rPr>
              <w:t xml:space="preserve">; </w:t>
            </w:r>
          </w:p>
          <w:p w14:paraId="68654A1E" w14:textId="7D3E1BE2" w:rsidR="00B87B06" w:rsidRDefault="0086043C"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c</w:t>
            </w:r>
            <w:r w:rsidRPr="0086043C">
              <w:rPr>
                <w:rFonts w:asciiTheme="minorHAnsi" w:eastAsia="Source Sans Pro Light" w:hAnsiTheme="minorHAnsi" w:cstheme="minorHAnsi"/>
                <w:szCs w:val="22"/>
                <w:lang w:eastAsia="en-US" w:bidi="en-AU"/>
              </w:rPr>
              <w:t>ulturally safe practice and genuine community led approaches</w:t>
            </w:r>
            <w:r>
              <w:rPr>
                <w:rFonts w:asciiTheme="minorHAnsi" w:eastAsia="Source Sans Pro Light" w:hAnsiTheme="minorHAnsi" w:cstheme="minorHAnsi"/>
                <w:szCs w:val="22"/>
                <w:lang w:eastAsia="en-US" w:bidi="en-AU"/>
              </w:rPr>
              <w:t xml:space="preserve"> where relevant</w:t>
            </w:r>
            <w:r w:rsidRPr="0086043C">
              <w:rPr>
                <w:rFonts w:asciiTheme="minorHAnsi" w:eastAsia="Source Sans Pro Light" w:hAnsiTheme="minorHAnsi" w:cstheme="minorHAnsi"/>
                <w:szCs w:val="22"/>
                <w:lang w:eastAsia="en-US" w:bidi="en-AU"/>
              </w:rPr>
              <w:t>;</w:t>
            </w:r>
            <w:r>
              <w:rPr>
                <w:rFonts w:asciiTheme="minorHAnsi" w:eastAsia="Source Sans Pro Light" w:hAnsiTheme="minorHAnsi" w:cstheme="minorHAnsi"/>
                <w:szCs w:val="22"/>
                <w:lang w:eastAsia="en-US" w:bidi="en-AU"/>
              </w:rPr>
              <w:t xml:space="preserve"> </w:t>
            </w:r>
            <w:r w:rsidR="00C55CA5">
              <w:rPr>
                <w:rFonts w:asciiTheme="minorHAnsi" w:eastAsia="Source Sans Pro Light" w:hAnsiTheme="minorHAnsi" w:cstheme="minorHAnsi"/>
                <w:szCs w:val="22"/>
                <w:lang w:eastAsia="en-US" w:bidi="en-AU"/>
              </w:rPr>
              <w:t>and</w:t>
            </w:r>
          </w:p>
          <w:p w14:paraId="5495D455" w14:textId="3D6A7F60" w:rsidR="00C55CA5" w:rsidRPr="00D92BEC" w:rsidRDefault="00B138B5" w:rsidP="00D92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where relevant quality of </w:t>
            </w:r>
            <w:r w:rsidR="00C55CA5">
              <w:rPr>
                <w:rFonts w:asciiTheme="minorHAnsi" w:eastAsia="Source Sans Pro Light" w:hAnsiTheme="minorHAnsi" w:cstheme="minorHAnsi"/>
                <w:szCs w:val="22"/>
                <w:lang w:eastAsia="en-US" w:bidi="en-AU"/>
              </w:rPr>
              <w:t>wrap around supports</w:t>
            </w:r>
            <w:r>
              <w:rPr>
                <w:rFonts w:asciiTheme="minorHAnsi" w:eastAsia="Source Sans Pro Light" w:hAnsiTheme="minorHAnsi" w:cstheme="minorHAnsi"/>
                <w:szCs w:val="22"/>
                <w:lang w:eastAsia="en-US" w:bidi="en-AU"/>
              </w:rPr>
              <w:t>, for example</w:t>
            </w:r>
            <w:r w:rsidR="00C55CA5">
              <w:rPr>
                <w:rFonts w:asciiTheme="minorHAnsi" w:eastAsia="Source Sans Pro Light" w:hAnsiTheme="minorHAnsi" w:cstheme="minorHAnsi"/>
                <w:szCs w:val="22"/>
                <w:lang w:eastAsia="en-US" w:bidi="en-AU"/>
              </w:rPr>
              <w:t xml:space="preserve"> centred on </w:t>
            </w:r>
            <w:r w:rsidR="00C55CA5" w:rsidRPr="00C55CA5">
              <w:rPr>
                <w:rFonts w:asciiTheme="minorHAnsi" w:eastAsia="Source Sans Pro Light" w:hAnsiTheme="minorHAnsi" w:cstheme="minorHAnsi"/>
                <w:szCs w:val="22"/>
                <w:lang w:eastAsia="en-US" w:bidi="en-AU"/>
              </w:rPr>
              <w:t xml:space="preserve">meaningful relational support </w:t>
            </w:r>
            <w:r w:rsidR="00C55CA5">
              <w:rPr>
                <w:rFonts w:asciiTheme="minorHAnsi" w:eastAsia="Source Sans Pro Light" w:hAnsiTheme="minorHAnsi" w:cstheme="minorHAnsi"/>
                <w:szCs w:val="22"/>
                <w:lang w:eastAsia="en-US" w:bidi="en-AU"/>
              </w:rPr>
              <w:t xml:space="preserve">as opposed to solely information referral. </w:t>
            </w:r>
          </w:p>
        </w:tc>
      </w:tr>
      <w:tr w:rsidR="008602D4" w14:paraId="3E2B99DE" w14:textId="77777777">
        <w:trPr>
          <w:trHeight w:val="876"/>
        </w:trPr>
        <w:tc>
          <w:tcPr>
            <w:tcW w:w="949" w:type="pct"/>
            <w:tcBorders>
              <w:top w:val="single" w:sz="4" w:space="0" w:color="auto"/>
              <w:left w:val="single" w:sz="4" w:space="0" w:color="auto"/>
              <w:bottom w:val="single" w:sz="4" w:space="0" w:color="auto"/>
              <w:right w:val="single" w:sz="4" w:space="0" w:color="auto"/>
            </w:tcBorders>
          </w:tcPr>
          <w:p w14:paraId="52E7C73E" w14:textId="6B5557A6" w:rsidR="008602D4" w:rsidRDefault="008602D4" w:rsidP="00EA27A3">
            <w:pPr>
              <w:widowControl w:val="0"/>
              <w:autoSpaceDE w:val="0"/>
              <w:autoSpaceDN w:val="0"/>
              <w:spacing w:before="0" w:after="0"/>
              <w:ind w:left="125"/>
              <w:rPr>
                <w:rFonts w:asciiTheme="minorHAnsi" w:eastAsia="Source Sans Pro Light" w:hAnsiTheme="minorHAnsi" w:cstheme="minorHAnsi"/>
                <w:b/>
                <w:szCs w:val="22"/>
                <w:lang w:eastAsia="en-US" w:bidi="en-AU"/>
              </w:rPr>
            </w:pPr>
            <w:r>
              <w:rPr>
                <w:rFonts w:asciiTheme="minorHAnsi" w:eastAsia="Source Sans Pro Light" w:hAnsiTheme="minorHAnsi" w:cstheme="minorHAnsi"/>
                <w:b/>
                <w:szCs w:val="22"/>
                <w:lang w:eastAsia="en-US" w:bidi="en-AU"/>
              </w:rPr>
              <w:lastRenderedPageBreak/>
              <w:t>Longer</w:t>
            </w:r>
            <w:r w:rsidR="00D92BEC">
              <w:rPr>
                <w:rFonts w:asciiTheme="minorHAnsi" w:eastAsia="Source Sans Pro Light" w:hAnsiTheme="minorHAnsi" w:cstheme="minorHAnsi"/>
                <w:b/>
                <w:szCs w:val="22"/>
                <w:lang w:eastAsia="en-US" w:bidi="en-AU"/>
              </w:rPr>
              <w:t>-</w:t>
            </w:r>
            <w:r>
              <w:rPr>
                <w:rFonts w:asciiTheme="minorHAnsi" w:eastAsia="Source Sans Pro Light" w:hAnsiTheme="minorHAnsi" w:cstheme="minorHAnsi"/>
                <w:b/>
                <w:szCs w:val="22"/>
                <w:lang w:eastAsia="en-US" w:bidi="en-AU"/>
              </w:rPr>
              <w:t xml:space="preserve">term Impact </w:t>
            </w:r>
          </w:p>
          <w:p w14:paraId="190757F2" w14:textId="20D373DC" w:rsidR="008602D4" w:rsidRDefault="008602D4" w:rsidP="00EA27A3">
            <w:pPr>
              <w:widowControl w:val="0"/>
              <w:autoSpaceDE w:val="0"/>
              <w:autoSpaceDN w:val="0"/>
              <w:spacing w:before="0" w:after="0"/>
              <w:ind w:left="125" w:right="119"/>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szCs w:val="22"/>
                <w:lang w:eastAsia="en-US" w:bidi="en-AU"/>
              </w:rPr>
              <w:t>(25%)</w:t>
            </w:r>
          </w:p>
        </w:tc>
        <w:tc>
          <w:tcPr>
            <w:tcW w:w="4051" w:type="pct"/>
            <w:tcBorders>
              <w:top w:val="single" w:sz="4" w:space="0" w:color="auto"/>
              <w:left w:val="single" w:sz="4" w:space="0" w:color="auto"/>
              <w:bottom w:val="single" w:sz="4" w:space="0" w:color="auto"/>
              <w:right w:val="single" w:sz="4" w:space="0" w:color="auto"/>
            </w:tcBorders>
          </w:tcPr>
          <w:p w14:paraId="6B108CB2" w14:textId="0E22C830" w:rsidR="008602D4" w:rsidRDefault="008602D4"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 xml:space="preserve">Considers whether the project </w:t>
            </w:r>
            <w:r>
              <w:rPr>
                <w:rFonts w:asciiTheme="minorHAnsi" w:eastAsia="Source Sans Pro Light" w:hAnsiTheme="minorHAnsi" w:cstheme="minorHAnsi"/>
                <w:szCs w:val="22"/>
                <w:lang w:eastAsia="en-US" w:bidi="en-AU"/>
              </w:rPr>
              <w:t xml:space="preserve">will </w:t>
            </w:r>
            <w:r w:rsidR="00C357C1">
              <w:rPr>
                <w:rFonts w:asciiTheme="minorHAnsi" w:eastAsia="Source Sans Pro Light" w:hAnsiTheme="minorHAnsi" w:cstheme="minorHAnsi"/>
                <w:szCs w:val="22"/>
                <w:lang w:eastAsia="en-US" w:bidi="en-AU"/>
              </w:rPr>
              <w:t xml:space="preserve">contribute to the evidence base and </w:t>
            </w:r>
            <w:r>
              <w:rPr>
                <w:rFonts w:asciiTheme="minorHAnsi" w:eastAsia="Source Sans Pro Light" w:hAnsiTheme="minorHAnsi" w:cstheme="minorHAnsi"/>
                <w:szCs w:val="22"/>
                <w:lang w:eastAsia="en-US" w:bidi="en-AU"/>
              </w:rPr>
              <w:t>lead to sustainable</w:t>
            </w:r>
            <w:r w:rsidR="00D92BEC">
              <w:rPr>
                <w:rFonts w:asciiTheme="minorHAnsi" w:eastAsia="Source Sans Pro Light" w:hAnsiTheme="minorHAnsi" w:cstheme="minorHAnsi"/>
                <w:szCs w:val="22"/>
                <w:lang w:eastAsia="en-US" w:bidi="en-AU"/>
              </w:rPr>
              <w:t xml:space="preserve">, </w:t>
            </w:r>
            <w:r>
              <w:rPr>
                <w:rFonts w:asciiTheme="minorHAnsi" w:eastAsia="Source Sans Pro Light" w:hAnsiTheme="minorHAnsi" w:cstheme="minorHAnsi"/>
                <w:szCs w:val="22"/>
                <w:lang w:eastAsia="en-US" w:bidi="en-AU"/>
              </w:rPr>
              <w:t xml:space="preserve">substantial outcomes for learners.  </w:t>
            </w:r>
          </w:p>
          <w:p w14:paraId="74F27755" w14:textId="77777777" w:rsidR="008602D4" w:rsidRDefault="008602D4"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Assessment considers</w:t>
            </w:r>
            <w:r>
              <w:rPr>
                <w:rFonts w:asciiTheme="minorHAnsi" w:eastAsia="Source Sans Pro Light" w:hAnsiTheme="minorHAnsi" w:cstheme="minorHAnsi"/>
                <w:szCs w:val="22"/>
                <w:lang w:eastAsia="en-US" w:bidi="en-AU"/>
              </w:rPr>
              <w:t>:</w:t>
            </w:r>
          </w:p>
          <w:p w14:paraId="55C61C86" w14:textId="45DE8F3D" w:rsidR="00C357C1" w:rsidRDefault="00D92BEC"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a </w:t>
            </w:r>
            <w:r w:rsidR="00C357C1">
              <w:rPr>
                <w:rFonts w:asciiTheme="minorHAnsi" w:eastAsia="Source Sans Pro Light" w:hAnsiTheme="minorHAnsi" w:cstheme="minorHAnsi"/>
                <w:szCs w:val="22"/>
                <w:lang w:eastAsia="en-US" w:bidi="en-AU"/>
              </w:rPr>
              <w:t xml:space="preserve">well-developed approach to </w:t>
            </w:r>
            <w:r w:rsidR="00C357C1" w:rsidRPr="00A60650">
              <w:rPr>
                <w:rFonts w:asciiTheme="minorHAnsi" w:eastAsia="Source Sans Pro Light" w:hAnsiTheme="minorHAnsi" w:cstheme="minorHAnsi"/>
                <w:szCs w:val="22"/>
                <w:lang w:eastAsia="en-US" w:bidi="en-AU"/>
              </w:rPr>
              <w:t>tracking</w:t>
            </w:r>
            <w:r w:rsidR="00C357C1">
              <w:rPr>
                <w:rFonts w:asciiTheme="minorHAnsi" w:eastAsia="Source Sans Pro Light" w:hAnsiTheme="minorHAnsi" w:cstheme="minorHAnsi"/>
                <w:szCs w:val="22"/>
                <w:lang w:eastAsia="en-US" w:bidi="en-AU"/>
              </w:rPr>
              <w:t xml:space="preserve"> expected outcomes;  </w:t>
            </w:r>
          </w:p>
          <w:p w14:paraId="12CF708E" w14:textId="63549040" w:rsidR="008602D4" w:rsidRDefault="00D92BEC"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the </w:t>
            </w:r>
            <w:r w:rsidR="008602D4" w:rsidRPr="00547668">
              <w:rPr>
                <w:rFonts w:asciiTheme="minorHAnsi" w:eastAsia="Source Sans Pro Light" w:hAnsiTheme="minorHAnsi" w:cstheme="minorHAnsi"/>
                <w:szCs w:val="22"/>
                <w:lang w:eastAsia="en-US" w:bidi="en-AU"/>
              </w:rPr>
              <w:t>potential to generate sustained improvements in completion</w:t>
            </w:r>
            <w:r w:rsidR="004A571D">
              <w:rPr>
                <w:rFonts w:asciiTheme="minorHAnsi" w:eastAsia="Source Sans Pro Light" w:hAnsiTheme="minorHAnsi" w:cstheme="minorHAnsi"/>
                <w:szCs w:val="22"/>
                <w:lang w:eastAsia="en-US" w:bidi="en-AU"/>
              </w:rPr>
              <w:t>s</w:t>
            </w:r>
            <w:r w:rsidR="008602D4" w:rsidRPr="00547668">
              <w:rPr>
                <w:rFonts w:asciiTheme="minorHAnsi" w:eastAsia="Source Sans Pro Light" w:hAnsiTheme="minorHAnsi" w:cstheme="minorHAnsi"/>
                <w:szCs w:val="22"/>
                <w:lang w:eastAsia="en-US" w:bidi="en-AU"/>
              </w:rPr>
              <w:t xml:space="preserve"> or employment outcomes</w:t>
            </w:r>
            <w:r w:rsidR="008602D4">
              <w:rPr>
                <w:rFonts w:asciiTheme="minorHAnsi" w:eastAsia="Source Sans Pro Light" w:hAnsiTheme="minorHAnsi" w:cstheme="minorHAnsi"/>
                <w:szCs w:val="22"/>
                <w:lang w:eastAsia="en-US" w:bidi="en-AU"/>
              </w:rPr>
              <w:t>;</w:t>
            </w:r>
            <w:r w:rsidR="008B767C">
              <w:rPr>
                <w:rFonts w:asciiTheme="minorHAnsi" w:eastAsia="Source Sans Pro Light" w:hAnsiTheme="minorHAnsi" w:cstheme="minorHAnsi"/>
                <w:szCs w:val="22"/>
                <w:lang w:eastAsia="en-US" w:bidi="en-AU"/>
              </w:rPr>
              <w:t xml:space="preserve"> </w:t>
            </w:r>
            <w:r w:rsidR="005D2748">
              <w:rPr>
                <w:rFonts w:asciiTheme="minorHAnsi" w:eastAsia="Source Sans Pro Light" w:hAnsiTheme="minorHAnsi" w:cstheme="minorHAnsi"/>
                <w:szCs w:val="22"/>
                <w:lang w:eastAsia="en-US" w:bidi="en-AU"/>
              </w:rPr>
              <w:t>and</w:t>
            </w:r>
          </w:p>
          <w:p w14:paraId="49C5A3D9" w14:textId="05CF8947" w:rsidR="008602D4" w:rsidRPr="004A571D" w:rsidRDefault="005D2748" w:rsidP="004A571D">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5D2748">
              <w:rPr>
                <w:rFonts w:asciiTheme="minorHAnsi" w:eastAsia="Source Sans Pro Light" w:hAnsiTheme="minorHAnsi" w:cstheme="minorHAnsi"/>
                <w:szCs w:val="22"/>
                <w:lang w:eastAsia="en-US" w:bidi="en-AU"/>
              </w:rPr>
              <w:t xml:space="preserve">the project’s potential to test models, tools and partnerships, and inform new or improved approaches that support completions for priority </w:t>
            </w:r>
            <w:r w:rsidR="0029248D">
              <w:rPr>
                <w:rFonts w:asciiTheme="minorHAnsi" w:eastAsia="Source Sans Pro Light" w:hAnsiTheme="minorHAnsi" w:cstheme="minorHAnsi"/>
                <w:szCs w:val="22"/>
                <w:lang w:eastAsia="en-US" w:bidi="en-AU"/>
              </w:rPr>
              <w:t>group</w:t>
            </w:r>
            <w:r w:rsidRPr="005D2748">
              <w:rPr>
                <w:rFonts w:asciiTheme="minorHAnsi" w:eastAsia="Source Sans Pro Light" w:hAnsiTheme="minorHAnsi" w:cstheme="minorHAnsi"/>
                <w:szCs w:val="22"/>
                <w:lang w:eastAsia="en-US" w:bidi="en-AU"/>
              </w:rPr>
              <w:t>s</w:t>
            </w:r>
            <w:r w:rsidR="0057123D">
              <w:rPr>
                <w:rFonts w:asciiTheme="minorHAnsi" w:eastAsia="Source Sans Pro Light" w:hAnsiTheme="minorHAnsi" w:cstheme="minorHAnsi"/>
                <w:szCs w:val="22"/>
                <w:lang w:eastAsia="en-US" w:bidi="en-AU"/>
              </w:rPr>
              <w:t>.</w:t>
            </w:r>
          </w:p>
        </w:tc>
      </w:tr>
      <w:tr w:rsidR="008602D4" w14:paraId="67826659" w14:textId="77777777" w:rsidTr="003600F0">
        <w:trPr>
          <w:trHeight w:val="417"/>
        </w:trPr>
        <w:tc>
          <w:tcPr>
            <w:tcW w:w="949" w:type="pct"/>
            <w:tcBorders>
              <w:top w:val="single" w:sz="4" w:space="0" w:color="auto"/>
              <w:left w:val="single" w:sz="4" w:space="0" w:color="auto"/>
              <w:bottom w:val="single" w:sz="4" w:space="0" w:color="auto"/>
              <w:right w:val="single" w:sz="4" w:space="0" w:color="auto"/>
            </w:tcBorders>
            <w:hideMark/>
          </w:tcPr>
          <w:p w14:paraId="37D4281E" w14:textId="46E1F147" w:rsidR="008602D4" w:rsidRDefault="00C357C1" w:rsidP="00EA27A3">
            <w:pPr>
              <w:widowControl w:val="0"/>
              <w:autoSpaceDE w:val="0"/>
              <w:autoSpaceDN w:val="0"/>
              <w:spacing w:before="0" w:after="0"/>
              <w:ind w:left="125" w:right="176"/>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bCs/>
                <w:szCs w:val="22"/>
                <w:lang w:eastAsia="en-US" w:bidi="en-AU"/>
              </w:rPr>
              <w:t>D</w:t>
            </w:r>
            <w:r w:rsidR="008602D4">
              <w:rPr>
                <w:rFonts w:asciiTheme="minorHAnsi" w:eastAsia="Source Sans Pro Light" w:hAnsiTheme="minorHAnsi" w:cstheme="minorHAnsi"/>
                <w:b/>
                <w:bCs/>
                <w:szCs w:val="22"/>
                <w:lang w:eastAsia="en-US" w:bidi="en-AU"/>
              </w:rPr>
              <w:t>emonstrated</w:t>
            </w:r>
            <w:r>
              <w:rPr>
                <w:rFonts w:asciiTheme="minorHAnsi" w:eastAsia="Source Sans Pro Light" w:hAnsiTheme="minorHAnsi" w:cstheme="minorHAnsi"/>
                <w:b/>
                <w:bCs/>
                <w:szCs w:val="22"/>
                <w:lang w:eastAsia="en-US" w:bidi="en-AU"/>
              </w:rPr>
              <w:t xml:space="preserve"> partnerships, </w:t>
            </w:r>
            <w:r w:rsidR="008602D4">
              <w:rPr>
                <w:rFonts w:asciiTheme="minorHAnsi" w:eastAsia="Source Sans Pro Light" w:hAnsiTheme="minorHAnsi" w:cstheme="minorHAnsi"/>
                <w:b/>
                <w:bCs/>
                <w:szCs w:val="22"/>
                <w:lang w:eastAsia="en-US" w:bidi="en-AU"/>
              </w:rPr>
              <w:t>capacity</w:t>
            </w:r>
            <w:r>
              <w:rPr>
                <w:rFonts w:asciiTheme="minorHAnsi" w:eastAsia="Source Sans Pro Light" w:hAnsiTheme="minorHAnsi" w:cstheme="minorHAnsi"/>
                <w:b/>
                <w:bCs/>
                <w:szCs w:val="22"/>
                <w:lang w:eastAsia="en-US" w:bidi="en-AU"/>
              </w:rPr>
              <w:t xml:space="preserve"> and capability</w:t>
            </w:r>
          </w:p>
          <w:p w14:paraId="7429E7A4" w14:textId="25EEF4E6" w:rsidR="008602D4" w:rsidRDefault="008602D4" w:rsidP="00EA27A3">
            <w:pPr>
              <w:widowControl w:val="0"/>
              <w:autoSpaceDE w:val="0"/>
              <w:autoSpaceDN w:val="0"/>
              <w:spacing w:before="0" w:after="0"/>
              <w:ind w:left="125" w:right="176"/>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bCs/>
                <w:szCs w:val="22"/>
                <w:lang w:eastAsia="en-US" w:bidi="en-AU"/>
              </w:rPr>
              <w:t>(25%)</w:t>
            </w:r>
          </w:p>
        </w:tc>
        <w:tc>
          <w:tcPr>
            <w:tcW w:w="4051" w:type="pct"/>
            <w:tcBorders>
              <w:top w:val="single" w:sz="4" w:space="0" w:color="auto"/>
              <w:left w:val="single" w:sz="4" w:space="0" w:color="auto"/>
              <w:bottom w:val="single" w:sz="4" w:space="0" w:color="auto"/>
              <w:right w:val="single" w:sz="4" w:space="0" w:color="auto"/>
            </w:tcBorders>
            <w:hideMark/>
          </w:tcPr>
          <w:p w14:paraId="53E1C23C" w14:textId="7F915EDE" w:rsidR="00EF0BEC" w:rsidRDefault="008602D4"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A60650">
              <w:rPr>
                <w:rFonts w:asciiTheme="minorHAnsi" w:eastAsia="Source Sans Pro Light" w:hAnsiTheme="minorHAnsi" w:cstheme="minorHAnsi"/>
                <w:szCs w:val="22"/>
                <w:lang w:eastAsia="en-US" w:bidi="en-AU"/>
              </w:rPr>
              <w:t>Considers the applicant’</w:t>
            </w:r>
            <w:r w:rsidR="00EF0BEC">
              <w:rPr>
                <w:rFonts w:asciiTheme="minorHAnsi" w:eastAsia="Source Sans Pro Light" w:hAnsiTheme="minorHAnsi" w:cstheme="minorHAnsi"/>
                <w:szCs w:val="22"/>
                <w:lang w:eastAsia="en-US" w:bidi="en-AU"/>
              </w:rPr>
              <w:t>s capacity</w:t>
            </w:r>
            <w:r w:rsidR="00C357C1">
              <w:rPr>
                <w:rFonts w:asciiTheme="minorHAnsi" w:eastAsia="Source Sans Pro Light" w:hAnsiTheme="minorHAnsi" w:cstheme="minorHAnsi"/>
                <w:szCs w:val="22"/>
                <w:lang w:eastAsia="en-US" w:bidi="en-AU"/>
              </w:rPr>
              <w:t xml:space="preserve"> and capability</w:t>
            </w:r>
            <w:r w:rsidR="00EF0BEC">
              <w:rPr>
                <w:rFonts w:asciiTheme="minorHAnsi" w:eastAsia="Source Sans Pro Light" w:hAnsiTheme="minorHAnsi" w:cstheme="minorHAnsi"/>
                <w:szCs w:val="22"/>
                <w:lang w:eastAsia="en-US" w:bidi="en-AU"/>
              </w:rPr>
              <w:t xml:space="preserve"> </w:t>
            </w:r>
            <w:r w:rsidR="00C357C1">
              <w:rPr>
                <w:rFonts w:asciiTheme="minorHAnsi" w:eastAsia="Source Sans Pro Light" w:hAnsiTheme="minorHAnsi" w:cstheme="minorHAnsi"/>
                <w:szCs w:val="22"/>
                <w:lang w:eastAsia="en-US" w:bidi="en-AU"/>
              </w:rPr>
              <w:t xml:space="preserve">to successfully deliver the project. </w:t>
            </w:r>
          </w:p>
          <w:p w14:paraId="69BC41C0" w14:textId="289D385D" w:rsidR="00EF0BEC" w:rsidRPr="00EF0BEC" w:rsidRDefault="008602D4" w:rsidP="00EF0BEC">
            <w:pPr>
              <w:widowControl w:val="0"/>
              <w:autoSpaceDE w:val="0"/>
              <w:autoSpaceDN w:val="0"/>
              <w:spacing w:before="0" w:after="0"/>
              <w:ind w:left="125"/>
              <w:rPr>
                <w:rFonts w:asciiTheme="minorHAnsi" w:eastAsia="Source Sans Pro Light" w:hAnsiTheme="minorHAnsi" w:cstheme="minorHAnsi"/>
                <w:szCs w:val="22"/>
                <w:lang w:eastAsia="en-US" w:bidi="en-AU"/>
              </w:rPr>
            </w:pPr>
            <w:r w:rsidRPr="00A60650">
              <w:rPr>
                <w:rFonts w:asciiTheme="minorHAnsi" w:eastAsia="Source Sans Pro Light" w:hAnsiTheme="minorHAnsi" w:cstheme="minorHAnsi"/>
                <w:szCs w:val="22"/>
                <w:lang w:eastAsia="en-US" w:bidi="en-AU"/>
              </w:rPr>
              <w:t>Assessment considers</w:t>
            </w:r>
            <w:r>
              <w:rPr>
                <w:rFonts w:asciiTheme="minorHAnsi" w:eastAsia="Source Sans Pro Light" w:hAnsiTheme="minorHAnsi" w:cstheme="minorHAnsi"/>
                <w:szCs w:val="22"/>
                <w:lang w:eastAsia="en-US" w:bidi="en-AU"/>
              </w:rPr>
              <w:t>:</w:t>
            </w:r>
          </w:p>
          <w:p w14:paraId="0EE99D1B" w14:textId="5159120D" w:rsidR="00EF0BEC" w:rsidRDefault="00EF0BEC"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demonstrated </w:t>
            </w:r>
            <w:r w:rsidR="00C357C1">
              <w:rPr>
                <w:rFonts w:asciiTheme="minorHAnsi" w:eastAsia="Source Sans Pro Light" w:hAnsiTheme="minorHAnsi" w:cstheme="minorHAnsi"/>
                <w:szCs w:val="22"/>
                <w:lang w:eastAsia="en-US" w:bidi="en-AU"/>
              </w:rPr>
              <w:t xml:space="preserve">organisational capacity and </w:t>
            </w:r>
            <w:r w:rsidR="008602D4" w:rsidRPr="00A60650">
              <w:rPr>
                <w:rFonts w:asciiTheme="minorHAnsi" w:eastAsia="Source Sans Pro Light" w:hAnsiTheme="minorHAnsi" w:cstheme="minorHAnsi"/>
                <w:szCs w:val="22"/>
                <w:lang w:eastAsia="en-US" w:bidi="en-AU"/>
              </w:rPr>
              <w:t>capability to deliver</w:t>
            </w:r>
            <w:r>
              <w:rPr>
                <w:rFonts w:asciiTheme="minorHAnsi" w:eastAsia="Source Sans Pro Light" w:hAnsiTheme="minorHAnsi" w:cstheme="minorHAnsi"/>
                <w:szCs w:val="22"/>
                <w:lang w:eastAsia="en-US" w:bidi="en-AU"/>
              </w:rPr>
              <w:t xml:space="preserve"> </w:t>
            </w:r>
            <w:r w:rsidR="00C357C1">
              <w:rPr>
                <w:rFonts w:asciiTheme="minorHAnsi" w:eastAsia="Source Sans Pro Light" w:hAnsiTheme="minorHAnsi" w:cstheme="minorHAnsi"/>
                <w:szCs w:val="22"/>
                <w:lang w:eastAsia="en-US" w:bidi="en-AU"/>
              </w:rPr>
              <w:t xml:space="preserve">the </w:t>
            </w:r>
            <w:r>
              <w:rPr>
                <w:rFonts w:asciiTheme="minorHAnsi" w:eastAsia="Source Sans Pro Light" w:hAnsiTheme="minorHAnsi" w:cstheme="minorHAnsi"/>
                <w:szCs w:val="22"/>
                <w:lang w:eastAsia="en-US" w:bidi="en-AU"/>
              </w:rPr>
              <w:t>project;</w:t>
            </w:r>
          </w:p>
          <w:p w14:paraId="30B0D70A" w14:textId="0C11CE3B" w:rsidR="008602D4" w:rsidRDefault="00D92BEC"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the </w:t>
            </w:r>
            <w:r w:rsidR="00362B40" w:rsidRPr="00A60650">
              <w:rPr>
                <w:rFonts w:asciiTheme="minorHAnsi" w:eastAsia="Source Sans Pro Light" w:hAnsiTheme="minorHAnsi" w:cstheme="minorHAnsi"/>
                <w:szCs w:val="22"/>
                <w:lang w:eastAsia="en-US" w:bidi="en-AU"/>
              </w:rPr>
              <w:t>skills and experience</w:t>
            </w:r>
            <w:r>
              <w:rPr>
                <w:rFonts w:asciiTheme="minorHAnsi" w:eastAsia="Source Sans Pro Light" w:hAnsiTheme="minorHAnsi" w:cstheme="minorHAnsi"/>
                <w:szCs w:val="22"/>
                <w:lang w:eastAsia="en-US" w:bidi="en-AU"/>
              </w:rPr>
              <w:t xml:space="preserve"> of project staff</w:t>
            </w:r>
            <w:r w:rsidR="008602D4" w:rsidRPr="00A60650">
              <w:rPr>
                <w:rFonts w:asciiTheme="minorHAnsi" w:eastAsia="Source Sans Pro Light" w:hAnsiTheme="minorHAnsi" w:cstheme="minorHAnsi"/>
                <w:szCs w:val="22"/>
                <w:lang w:eastAsia="en-US" w:bidi="en-AU"/>
              </w:rPr>
              <w:t xml:space="preserve">; </w:t>
            </w:r>
          </w:p>
          <w:p w14:paraId="619FEEAB" w14:textId="75A51515" w:rsidR="00EF0BEC" w:rsidRDefault="00EF0BEC" w:rsidP="00EF0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evidence of </w:t>
            </w:r>
            <w:r w:rsidR="00362B40" w:rsidRPr="00EF0BEC">
              <w:rPr>
                <w:rFonts w:asciiTheme="minorHAnsi" w:eastAsia="Source Sans Pro Light" w:hAnsiTheme="minorHAnsi" w:cstheme="minorHAnsi"/>
                <w:szCs w:val="22"/>
                <w:lang w:eastAsia="en-US" w:bidi="en-AU"/>
              </w:rPr>
              <w:t>effective partnerships</w:t>
            </w:r>
            <w:r w:rsidRPr="00EF0BEC">
              <w:rPr>
                <w:rFonts w:asciiTheme="minorHAnsi" w:eastAsia="Source Sans Pro Light" w:hAnsiTheme="minorHAnsi" w:cstheme="minorHAnsi"/>
                <w:szCs w:val="22"/>
                <w:lang w:eastAsia="en-US" w:bidi="en-AU"/>
              </w:rPr>
              <w:t xml:space="preserve">; </w:t>
            </w:r>
          </w:p>
          <w:p w14:paraId="44A4F202" w14:textId="77777777" w:rsidR="00EF0BEC" w:rsidRDefault="00EF0BEC" w:rsidP="00EF0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EF0BEC">
              <w:rPr>
                <w:rFonts w:asciiTheme="minorHAnsi" w:eastAsia="Source Sans Pro Light" w:hAnsiTheme="minorHAnsi" w:cstheme="minorHAnsi"/>
                <w:szCs w:val="22"/>
                <w:lang w:eastAsia="en-US" w:bidi="en-AU"/>
              </w:rPr>
              <w:t xml:space="preserve">demonstrated </w:t>
            </w:r>
            <w:r w:rsidR="00362B40" w:rsidRPr="00EF0BEC">
              <w:rPr>
                <w:rFonts w:asciiTheme="minorHAnsi" w:eastAsia="Source Sans Pro Light" w:hAnsiTheme="minorHAnsi" w:cstheme="minorHAnsi"/>
                <w:szCs w:val="22"/>
                <w:lang w:eastAsia="en-US" w:bidi="en-AU"/>
              </w:rPr>
              <w:t xml:space="preserve">stakeholder </w:t>
            </w:r>
            <w:r w:rsidR="008602D4" w:rsidRPr="00EF0BEC">
              <w:rPr>
                <w:rFonts w:asciiTheme="minorHAnsi" w:eastAsia="Source Sans Pro Light" w:hAnsiTheme="minorHAnsi" w:cstheme="minorHAnsi"/>
                <w:szCs w:val="22"/>
                <w:lang w:eastAsia="en-US" w:bidi="en-AU"/>
              </w:rPr>
              <w:t>engagement</w:t>
            </w:r>
            <w:r>
              <w:rPr>
                <w:rFonts w:asciiTheme="minorHAnsi" w:eastAsia="Source Sans Pro Light" w:hAnsiTheme="minorHAnsi" w:cstheme="minorHAnsi"/>
                <w:szCs w:val="22"/>
                <w:lang w:eastAsia="en-US" w:bidi="en-AU"/>
              </w:rPr>
              <w:t>;</w:t>
            </w:r>
            <w:r w:rsidRPr="00EF0BEC">
              <w:rPr>
                <w:rFonts w:asciiTheme="minorHAnsi" w:eastAsia="Source Sans Pro Light" w:hAnsiTheme="minorHAnsi" w:cstheme="minorHAnsi"/>
                <w:szCs w:val="22"/>
                <w:lang w:eastAsia="en-US" w:bidi="en-AU"/>
              </w:rPr>
              <w:t xml:space="preserve"> </w:t>
            </w:r>
            <w:r>
              <w:rPr>
                <w:rFonts w:asciiTheme="minorHAnsi" w:eastAsia="Source Sans Pro Light" w:hAnsiTheme="minorHAnsi" w:cstheme="minorHAnsi"/>
                <w:szCs w:val="22"/>
                <w:lang w:eastAsia="en-US" w:bidi="en-AU"/>
              </w:rPr>
              <w:t>and</w:t>
            </w:r>
          </w:p>
          <w:p w14:paraId="06FB0884" w14:textId="00C87267" w:rsidR="008602D4" w:rsidRPr="00EF0BEC" w:rsidRDefault="00D92BEC" w:rsidP="00EF0BEC">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if previously funded, a </w:t>
            </w:r>
            <w:r w:rsidR="00EF0BEC" w:rsidRPr="00EF0BEC">
              <w:rPr>
                <w:rFonts w:asciiTheme="minorHAnsi" w:eastAsia="Source Sans Pro Light" w:hAnsiTheme="minorHAnsi" w:cstheme="minorHAnsi"/>
                <w:szCs w:val="22"/>
                <w:lang w:eastAsia="en-US" w:bidi="en-AU"/>
              </w:rPr>
              <w:t xml:space="preserve">track record under ACT/Australian Government programs, including delivery of outcomes and reporting. </w:t>
            </w:r>
          </w:p>
        </w:tc>
      </w:tr>
      <w:tr w:rsidR="008602D4" w14:paraId="4ACF4B2E" w14:textId="77777777">
        <w:trPr>
          <w:trHeight w:val="907"/>
        </w:trPr>
        <w:tc>
          <w:tcPr>
            <w:tcW w:w="949" w:type="pct"/>
            <w:tcBorders>
              <w:top w:val="single" w:sz="4" w:space="0" w:color="auto"/>
              <w:left w:val="single" w:sz="4" w:space="0" w:color="auto"/>
              <w:bottom w:val="single" w:sz="4" w:space="0" w:color="auto"/>
              <w:right w:val="single" w:sz="4" w:space="0" w:color="auto"/>
            </w:tcBorders>
            <w:hideMark/>
          </w:tcPr>
          <w:p w14:paraId="57B71A6C" w14:textId="77777777" w:rsidR="008602D4" w:rsidRDefault="008602D4" w:rsidP="00EA27A3">
            <w:pPr>
              <w:widowControl w:val="0"/>
              <w:autoSpaceDE w:val="0"/>
              <w:autoSpaceDN w:val="0"/>
              <w:spacing w:before="0" w:after="0"/>
              <w:ind w:left="125"/>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bCs/>
                <w:szCs w:val="22"/>
                <w:lang w:eastAsia="en-US" w:bidi="en-AU"/>
              </w:rPr>
              <w:t xml:space="preserve">Value for money </w:t>
            </w:r>
          </w:p>
          <w:p w14:paraId="0F098CE6" w14:textId="59BF01FF" w:rsidR="008602D4" w:rsidRDefault="008602D4" w:rsidP="00EA27A3">
            <w:pPr>
              <w:widowControl w:val="0"/>
              <w:autoSpaceDE w:val="0"/>
              <w:autoSpaceDN w:val="0"/>
              <w:spacing w:before="0" w:after="0"/>
              <w:ind w:left="125"/>
              <w:rPr>
                <w:rFonts w:asciiTheme="minorHAnsi" w:eastAsia="Source Sans Pro Light" w:hAnsiTheme="minorHAnsi" w:cstheme="minorHAnsi"/>
                <w:b/>
                <w:bCs/>
                <w:szCs w:val="22"/>
                <w:lang w:eastAsia="en-US" w:bidi="en-AU"/>
              </w:rPr>
            </w:pPr>
            <w:r>
              <w:rPr>
                <w:rFonts w:asciiTheme="minorHAnsi" w:eastAsia="Source Sans Pro Light" w:hAnsiTheme="minorHAnsi" w:cstheme="minorHAnsi"/>
                <w:b/>
                <w:bCs/>
                <w:szCs w:val="22"/>
                <w:lang w:eastAsia="en-US" w:bidi="en-AU"/>
              </w:rPr>
              <w:t xml:space="preserve">(25%) </w:t>
            </w:r>
          </w:p>
        </w:tc>
        <w:tc>
          <w:tcPr>
            <w:tcW w:w="4051" w:type="pct"/>
            <w:tcBorders>
              <w:top w:val="single" w:sz="4" w:space="0" w:color="auto"/>
              <w:left w:val="single" w:sz="4" w:space="0" w:color="auto"/>
              <w:bottom w:val="single" w:sz="4" w:space="0" w:color="auto"/>
              <w:right w:val="single" w:sz="4" w:space="0" w:color="auto"/>
            </w:tcBorders>
            <w:hideMark/>
          </w:tcPr>
          <w:p w14:paraId="093B3ED7" w14:textId="77777777" w:rsidR="008602D4" w:rsidRDefault="008602D4"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 xml:space="preserve">Assesses whether the requested funding represents a sound investment relative to scope, timing and expected outcomes. </w:t>
            </w:r>
          </w:p>
          <w:p w14:paraId="6045A362" w14:textId="77777777" w:rsidR="008602D4" w:rsidRDefault="008602D4" w:rsidP="00EA27A3">
            <w:pPr>
              <w:widowControl w:val="0"/>
              <w:autoSpaceDE w:val="0"/>
              <w:autoSpaceDN w:val="0"/>
              <w:spacing w:before="0" w:after="0"/>
              <w:ind w:left="125"/>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Assessment considers</w:t>
            </w:r>
            <w:r>
              <w:rPr>
                <w:rFonts w:asciiTheme="minorHAnsi" w:eastAsia="Source Sans Pro Light" w:hAnsiTheme="minorHAnsi" w:cstheme="minorHAnsi"/>
                <w:szCs w:val="22"/>
                <w:lang w:eastAsia="en-US" w:bidi="en-AU"/>
              </w:rPr>
              <w:t>:</w:t>
            </w:r>
            <w:r w:rsidRPr="00547668">
              <w:rPr>
                <w:rFonts w:asciiTheme="minorHAnsi" w:eastAsia="Source Sans Pro Light" w:hAnsiTheme="minorHAnsi" w:cstheme="minorHAnsi"/>
                <w:szCs w:val="22"/>
                <w:lang w:eastAsia="en-US" w:bidi="en-AU"/>
              </w:rPr>
              <w:t xml:space="preserve"> </w:t>
            </w:r>
          </w:p>
          <w:p w14:paraId="66EC17B6" w14:textId="73340B72" w:rsidR="008602D4" w:rsidRDefault="008602D4"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Pr>
                <w:rFonts w:asciiTheme="minorHAnsi" w:eastAsia="Source Sans Pro Light" w:hAnsiTheme="minorHAnsi" w:cstheme="minorHAnsi"/>
                <w:szCs w:val="22"/>
                <w:lang w:eastAsia="en-US" w:bidi="en-AU"/>
              </w:rPr>
              <w:t xml:space="preserve">whether the budget is </w:t>
            </w:r>
            <w:r w:rsidRPr="00547668">
              <w:rPr>
                <w:rFonts w:asciiTheme="minorHAnsi" w:eastAsia="Source Sans Pro Light" w:hAnsiTheme="minorHAnsi" w:cstheme="minorHAnsi"/>
                <w:szCs w:val="22"/>
                <w:lang w:eastAsia="en-US" w:bidi="en-AU"/>
              </w:rPr>
              <w:t xml:space="preserve">clear and reasonable; </w:t>
            </w:r>
          </w:p>
          <w:p w14:paraId="33D74DBF" w14:textId="62526966" w:rsidR="008602D4" w:rsidRDefault="008602D4"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 xml:space="preserve">costs proportionate to </w:t>
            </w:r>
            <w:r w:rsidR="00D92BEC">
              <w:rPr>
                <w:rFonts w:asciiTheme="minorHAnsi" w:eastAsia="Source Sans Pro Light" w:hAnsiTheme="minorHAnsi" w:cstheme="minorHAnsi"/>
                <w:szCs w:val="22"/>
                <w:lang w:eastAsia="en-US" w:bidi="en-AU"/>
              </w:rPr>
              <w:t xml:space="preserve">project </w:t>
            </w:r>
            <w:r w:rsidRPr="00547668">
              <w:rPr>
                <w:rFonts w:asciiTheme="minorHAnsi" w:eastAsia="Source Sans Pro Light" w:hAnsiTheme="minorHAnsi" w:cstheme="minorHAnsi"/>
                <w:szCs w:val="22"/>
                <w:lang w:eastAsia="en-US" w:bidi="en-AU"/>
              </w:rPr>
              <w:t xml:space="preserve">scale and </w:t>
            </w:r>
            <w:r w:rsidR="00D92BEC">
              <w:rPr>
                <w:rFonts w:asciiTheme="minorHAnsi" w:eastAsia="Source Sans Pro Light" w:hAnsiTheme="minorHAnsi" w:cstheme="minorHAnsi"/>
                <w:szCs w:val="22"/>
                <w:lang w:eastAsia="en-US" w:bidi="en-AU"/>
              </w:rPr>
              <w:t xml:space="preserve">expected </w:t>
            </w:r>
            <w:r w:rsidRPr="00547668">
              <w:rPr>
                <w:rFonts w:asciiTheme="minorHAnsi" w:eastAsia="Source Sans Pro Light" w:hAnsiTheme="minorHAnsi" w:cstheme="minorHAnsi"/>
                <w:szCs w:val="22"/>
                <w:lang w:eastAsia="en-US" w:bidi="en-AU"/>
              </w:rPr>
              <w:t xml:space="preserve">benefits; and </w:t>
            </w:r>
          </w:p>
          <w:p w14:paraId="7C6F0993" w14:textId="1787C86E" w:rsidR="008602D4" w:rsidRPr="00547668" w:rsidRDefault="008602D4" w:rsidP="00EA27A3">
            <w:pPr>
              <w:pStyle w:val="ListParagraph"/>
              <w:widowControl w:val="0"/>
              <w:numPr>
                <w:ilvl w:val="0"/>
                <w:numId w:val="27"/>
              </w:numPr>
              <w:autoSpaceDE w:val="0"/>
              <w:autoSpaceDN w:val="0"/>
              <w:spacing w:before="0" w:after="0"/>
              <w:rPr>
                <w:rFonts w:asciiTheme="minorHAnsi" w:eastAsia="Source Sans Pro Light" w:hAnsiTheme="minorHAnsi" w:cstheme="minorHAnsi"/>
                <w:szCs w:val="22"/>
                <w:lang w:eastAsia="en-US" w:bidi="en-AU"/>
              </w:rPr>
            </w:pPr>
            <w:r w:rsidRPr="00547668">
              <w:rPr>
                <w:rFonts w:asciiTheme="minorHAnsi" w:eastAsia="Source Sans Pro Light" w:hAnsiTheme="minorHAnsi" w:cstheme="minorHAnsi"/>
                <w:szCs w:val="22"/>
                <w:lang w:eastAsia="en-US" w:bidi="en-AU"/>
              </w:rPr>
              <w:t xml:space="preserve">efficient allocation </w:t>
            </w:r>
            <w:r w:rsidR="00D92BEC">
              <w:rPr>
                <w:rFonts w:asciiTheme="minorHAnsi" w:eastAsia="Source Sans Pro Light" w:hAnsiTheme="minorHAnsi" w:cstheme="minorHAnsi"/>
                <w:szCs w:val="22"/>
                <w:lang w:eastAsia="en-US" w:bidi="en-AU"/>
              </w:rPr>
              <w:t xml:space="preserve">of resources </w:t>
            </w:r>
            <w:r w:rsidRPr="00547668">
              <w:rPr>
                <w:rFonts w:asciiTheme="minorHAnsi" w:eastAsia="Source Sans Pro Light" w:hAnsiTheme="minorHAnsi" w:cstheme="minorHAnsi"/>
                <w:szCs w:val="22"/>
                <w:lang w:eastAsia="en-US" w:bidi="en-AU"/>
              </w:rPr>
              <w:t>aligned to core activities.</w:t>
            </w:r>
          </w:p>
        </w:tc>
      </w:tr>
    </w:tbl>
    <w:p w14:paraId="381E8882" w14:textId="77777777" w:rsidR="004A571D" w:rsidRPr="004A571D" w:rsidRDefault="004A571D" w:rsidP="004A571D">
      <w:pPr>
        <w:pStyle w:val="Heading2"/>
        <w:numPr>
          <w:ilvl w:val="0"/>
          <w:numId w:val="0"/>
        </w:numPr>
      </w:pPr>
      <w:bookmarkStart w:id="36" w:name="_Hlk15573447"/>
    </w:p>
    <w:p w14:paraId="65A9364D" w14:textId="78E4580D" w:rsidR="004A571D" w:rsidRPr="004A571D" w:rsidRDefault="008032C6" w:rsidP="00D92BEC">
      <w:pPr>
        <w:pStyle w:val="Heading1"/>
        <w:spacing w:before="0" w:after="0"/>
      </w:pPr>
      <w:bookmarkStart w:id="37" w:name="_Toc224126085"/>
      <w:r w:rsidRPr="00681E86">
        <w:t xml:space="preserve">Accepting a </w:t>
      </w:r>
      <w:r w:rsidR="0057123D">
        <w:t>G</w:t>
      </w:r>
      <w:r w:rsidRPr="00681E86">
        <w:t>rant</w:t>
      </w:r>
      <w:bookmarkEnd w:id="37"/>
    </w:p>
    <w:p w14:paraId="449226CF" w14:textId="77777777" w:rsidR="004F7A95" w:rsidRPr="00681E86" w:rsidRDefault="00C91721" w:rsidP="00EA27A3">
      <w:pPr>
        <w:pStyle w:val="Heading2"/>
        <w:spacing w:before="0" w:after="0"/>
        <w:rPr>
          <w:szCs w:val="24"/>
        </w:rPr>
      </w:pPr>
      <w:bookmarkStart w:id="38" w:name="_Toc224126086"/>
      <w:r w:rsidRPr="00681E86">
        <w:t>G</w:t>
      </w:r>
      <w:r w:rsidR="00D038A7" w:rsidRPr="00681E86">
        <w:t xml:space="preserve">rant requirements and </w:t>
      </w:r>
      <w:r w:rsidR="00D35B26" w:rsidRPr="00681E86">
        <w:t>p</w:t>
      </w:r>
      <w:r w:rsidR="00D038A7" w:rsidRPr="00681E86">
        <w:t xml:space="preserve">ayment </w:t>
      </w:r>
      <w:r w:rsidR="00D35B26" w:rsidRPr="00681E86">
        <w:t>p</w:t>
      </w:r>
      <w:r w:rsidR="00D038A7" w:rsidRPr="00681E86">
        <w:t>rocess</w:t>
      </w:r>
      <w:bookmarkEnd w:id="38"/>
    </w:p>
    <w:bookmarkEnd w:id="36"/>
    <w:p w14:paraId="6F22594C" w14:textId="4F20E526" w:rsidR="004A571D" w:rsidRDefault="00547668" w:rsidP="00D92BEC">
      <w:pPr>
        <w:spacing w:before="0" w:after="0"/>
      </w:pPr>
      <w:r w:rsidRPr="00547668">
        <w:t>Successful applicants must enter into a Deed of Grant setting out the terms and conditions, including reporting and acquittal requirements. Grants are paid in instalments upon execution of the Deed and achievement of agreed milestones. Payments may take up to 30 days to process upon receipt of an invoice.</w:t>
      </w:r>
    </w:p>
    <w:p w14:paraId="0C6D75CE" w14:textId="06B822F4" w:rsidR="00262A8E" w:rsidRDefault="00262A8E" w:rsidP="00EA27A3">
      <w:pPr>
        <w:spacing w:before="0" w:after="0"/>
      </w:pPr>
    </w:p>
    <w:p w14:paraId="7621FEC6" w14:textId="77777777" w:rsidR="00B6265B" w:rsidRDefault="007D359B" w:rsidP="00EA27A3">
      <w:pPr>
        <w:pStyle w:val="Heading2"/>
        <w:spacing w:before="0" w:after="0"/>
      </w:pPr>
      <w:bookmarkStart w:id="39" w:name="_Toc224126087"/>
      <w:r w:rsidRPr="00681E86">
        <w:lastRenderedPageBreak/>
        <w:t>C</w:t>
      </w:r>
      <w:r w:rsidR="008032C6" w:rsidRPr="00681E86">
        <w:t xml:space="preserve">onditions of </w:t>
      </w:r>
      <w:r w:rsidR="001E65FA" w:rsidRPr="00681E86">
        <w:t>f</w:t>
      </w:r>
      <w:r w:rsidR="008032C6" w:rsidRPr="00681E86">
        <w:t>unding</w:t>
      </w:r>
      <w:bookmarkStart w:id="40" w:name="_Hlk15556348"/>
      <w:bookmarkEnd w:id="39"/>
    </w:p>
    <w:p w14:paraId="7FF6BE05" w14:textId="3253ADD6" w:rsidR="00547668" w:rsidRDefault="00547668" w:rsidP="00EA27A3">
      <w:pPr>
        <w:pStyle w:val="ListParagraph"/>
        <w:numPr>
          <w:ilvl w:val="0"/>
          <w:numId w:val="24"/>
        </w:numPr>
        <w:spacing w:before="0" w:after="0"/>
      </w:pPr>
      <w:r>
        <w:t>Information provided in the application must be true and correct. The Territory may seek repayment of funds where information is false</w:t>
      </w:r>
      <w:r w:rsidR="00200DE8">
        <w:t>,</w:t>
      </w:r>
      <w:r>
        <w:t xml:space="preserve"> or funding is not used for the approved purpose.</w:t>
      </w:r>
    </w:p>
    <w:p w14:paraId="37E4D4A1" w14:textId="77777777" w:rsidR="00547668" w:rsidRDefault="00547668" w:rsidP="00EA27A3">
      <w:pPr>
        <w:pStyle w:val="ListParagraph"/>
        <w:numPr>
          <w:ilvl w:val="0"/>
          <w:numId w:val="24"/>
        </w:numPr>
        <w:spacing w:before="0" w:after="0"/>
      </w:pPr>
      <w:r>
        <w:t>Organisations must adhere to all Program guidelines and conditions.</w:t>
      </w:r>
    </w:p>
    <w:p w14:paraId="60BE066B" w14:textId="77777777" w:rsidR="00547668" w:rsidRDefault="00547668" w:rsidP="00EA27A3">
      <w:pPr>
        <w:pStyle w:val="ListParagraph"/>
        <w:numPr>
          <w:ilvl w:val="0"/>
          <w:numId w:val="24"/>
        </w:numPr>
        <w:spacing w:before="0" w:after="0"/>
      </w:pPr>
      <w:r>
        <w:t>Organisations must acknowledge ACT and Australian Government support as outlined in the Deed of Grant.</w:t>
      </w:r>
    </w:p>
    <w:p w14:paraId="75092038" w14:textId="77777777" w:rsidR="00547668" w:rsidRDefault="00547668" w:rsidP="00EA27A3">
      <w:pPr>
        <w:pStyle w:val="ListParagraph"/>
        <w:numPr>
          <w:ilvl w:val="0"/>
          <w:numId w:val="24"/>
        </w:numPr>
        <w:spacing w:before="0" w:after="0"/>
      </w:pPr>
      <w:r>
        <w:t>Organisations receiving public funding must comply with the ACT Government Equal Employment Opportunity policy.</w:t>
      </w:r>
    </w:p>
    <w:p w14:paraId="7A25ED04" w14:textId="77777777" w:rsidR="00547668" w:rsidRDefault="00547668" w:rsidP="00EA27A3">
      <w:pPr>
        <w:pStyle w:val="ListParagraph"/>
        <w:numPr>
          <w:ilvl w:val="0"/>
          <w:numId w:val="24"/>
        </w:numPr>
        <w:spacing w:before="0" w:after="0"/>
      </w:pPr>
      <w:r>
        <w:t>Organisations must make every effort to ensure access and equity principles guide organisational development and program delivery.</w:t>
      </w:r>
    </w:p>
    <w:p w14:paraId="1C02A938" w14:textId="77777777" w:rsidR="00547668" w:rsidRDefault="00547668" w:rsidP="00EA27A3">
      <w:pPr>
        <w:pStyle w:val="ListParagraph"/>
        <w:numPr>
          <w:ilvl w:val="0"/>
          <w:numId w:val="24"/>
        </w:numPr>
        <w:spacing w:before="0" w:after="0"/>
      </w:pPr>
      <w:r>
        <w:t>Written approval from Skills Canberra is required for any project variation. Requests should be emailed to skills.projects@act.gov.au. Approval is not guaranteed.</w:t>
      </w:r>
    </w:p>
    <w:p w14:paraId="2D227913" w14:textId="6EA8E0A2" w:rsidR="00547668" w:rsidRDefault="00547668" w:rsidP="00EA27A3">
      <w:pPr>
        <w:pStyle w:val="ListParagraph"/>
        <w:numPr>
          <w:ilvl w:val="0"/>
          <w:numId w:val="24"/>
        </w:numPr>
        <w:spacing w:before="0" w:after="0"/>
      </w:pPr>
      <w:r>
        <w:t xml:space="preserve">Applicant organisations grant a licence to Skills Canberra to use project outcomes and deliverables to share learnings and support broader sector improvement, as negotiated in the </w:t>
      </w:r>
      <w:r w:rsidR="00D92BEC">
        <w:t>D</w:t>
      </w:r>
      <w:r>
        <w:t xml:space="preserve">eed of </w:t>
      </w:r>
      <w:r w:rsidR="00D92BEC">
        <w:t>G</w:t>
      </w:r>
      <w:r>
        <w:t>rant.</w:t>
      </w:r>
    </w:p>
    <w:p w14:paraId="4D657B4B" w14:textId="4C1D32E1" w:rsidR="006753A2" w:rsidRDefault="00547668" w:rsidP="00EA27A3">
      <w:pPr>
        <w:pStyle w:val="ListParagraph"/>
        <w:numPr>
          <w:ilvl w:val="0"/>
          <w:numId w:val="24"/>
        </w:numPr>
        <w:spacing w:before="0" w:after="0"/>
      </w:pPr>
      <w:r>
        <w:t>Applicant organisations are responsible for managing roles and responsibilities of partners and third parties and ensuring clarity about how outcomes may be used by the ACT Government.</w:t>
      </w:r>
    </w:p>
    <w:p w14:paraId="4B260B51" w14:textId="77777777" w:rsidR="004A571D" w:rsidRDefault="004A571D" w:rsidP="004A571D">
      <w:pPr>
        <w:pStyle w:val="ListParagraph"/>
        <w:spacing w:before="0" w:after="0"/>
        <w:ind w:left="1069"/>
      </w:pPr>
    </w:p>
    <w:p w14:paraId="75987B05" w14:textId="77777777" w:rsidR="003A4BF9" w:rsidRDefault="003A4BF9" w:rsidP="00EA27A3">
      <w:pPr>
        <w:pStyle w:val="Heading2"/>
        <w:spacing w:before="0" w:after="0"/>
      </w:pPr>
      <w:bookmarkStart w:id="41" w:name="_Toc224126088"/>
      <w:r w:rsidRPr="00681E86">
        <w:t>Goods and Services Tax (GST)</w:t>
      </w:r>
      <w:bookmarkEnd w:id="41"/>
    </w:p>
    <w:bookmarkEnd w:id="40"/>
    <w:p w14:paraId="467577D4" w14:textId="46AFCB4C" w:rsidR="006753A2" w:rsidRDefault="006753A2" w:rsidP="00EA27A3">
      <w:pPr>
        <w:spacing w:before="0" w:after="0"/>
      </w:pPr>
      <w:r w:rsidRPr="006753A2">
        <w:t xml:space="preserve">GST is payable to organisations receiving financial assistance under this </w:t>
      </w:r>
      <w:r w:rsidR="00547668">
        <w:t>Grants P</w:t>
      </w:r>
      <w:r w:rsidRPr="006753A2">
        <w:t>rogram if they are GST registered with the Australian Tax Office, and can provide an ABN</w:t>
      </w:r>
      <w:r w:rsidR="00547668">
        <w:t xml:space="preserve"> (</w:t>
      </w:r>
      <w:r w:rsidRPr="006753A2">
        <w:t>i.e., if turnover is greater than $150,000 per annum</w:t>
      </w:r>
      <w:r w:rsidR="00547668">
        <w:t>)</w:t>
      </w:r>
      <w:r w:rsidRPr="006753A2">
        <w:t>.</w:t>
      </w:r>
    </w:p>
    <w:p w14:paraId="5159B590" w14:textId="77777777" w:rsidR="004A571D" w:rsidRDefault="004A571D" w:rsidP="00EA27A3">
      <w:pPr>
        <w:spacing w:before="0" w:after="0"/>
      </w:pPr>
    </w:p>
    <w:p w14:paraId="57F2F29D" w14:textId="77777777" w:rsidR="003A4BF9" w:rsidRDefault="00D038A7" w:rsidP="00EA27A3">
      <w:pPr>
        <w:pStyle w:val="Heading2"/>
        <w:spacing w:before="0" w:after="0"/>
      </w:pPr>
      <w:bookmarkStart w:id="42" w:name="_Toc224126089"/>
      <w:bookmarkStart w:id="43" w:name="_Hlk15573580"/>
      <w:bookmarkStart w:id="44" w:name="_Hlk15556461"/>
      <w:r w:rsidRPr="00681E86">
        <w:t>Publication</w:t>
      </w:r>
      <w:bookmarkEnd w:id="42"/>
    </w:p>
    <w:p w14:paraId="4C3FD88C" w14:textId="22CA910B" w:rsidR="006753A2" w:rsidRDefault="006753A2" w:rsidP="00EA27A3">
      <w:pPr>
        <w:spacing w:before="0" w:after="0"/>
      </w:pPr>
      <w:r w:rsidRPr="006753A2">
        <w:t xml:space="preserve">All successful applicants, </w:t>
      </w:r>
      <w:r w:rsidR="00D92BEC">
        <w:t xml:space="preserve">along with </w:t>
      </w:r>
      <w:r w:rsidRPr="006753A2">
        <w:t xml:space="preserve">their </w:t>
      </w:r>
      <w:r w:rsidR="00547668">
        <w:t>funded</w:t>
      </w:r>
      <w:r w:rsidRPr="006753A2">
        <w:t xml:space="preserve"> activity and the funded amount</w:t>
      </w:r>
      <w:r w:rsidR="00D92BEC">
        <w:t>,</w:t>
      </w:r>
      <w:r w:rsidRPr="006753A2">
        <w:t xml:space="preserve"> will be published on the Skills Canberra website.</w:t>
      </w:r>
      <w:r w:rsidR="0057123D">
        <w:t xml:space="preserve"> Projects may </w:t>
      </w:r>
      <w:r w:rsidR="00D92BEC">
        <w:t xml:space="preserve">also </w:t>
      </w:r>
      <w:r w:rsidR="0057123D">
        <w:t xml:space="preserve">be selected for further promotion by ACT or Australian Governments.  </w:t>
      </w:r>
    </w:p>
    <w:p w14:paraId="59806E2A" w14:textId="77777777" w:rsidR="004A571D" w:rsidRDefault="004A571D" w:rsidP="00EA27A3">
      <w:pPr>
        <w:spacing w:before="0" w:after="0"/>
      </w:pPr>
    </w:p>
    <w:p w14:paraId="6617F884" w14:textId="06A4853C" w:rsidR="003A4BF9" w:rsidRDefault="006753A2" w:rsidP="00EA27A3">
      <w:pPr>
        <w:pStyle w:val="Heading1"/>
        <w:spacing w:before="0" w:after="0"/>
      </w:pPr>
      <w:bookmarkStart w:id="45" w:name="_Toc224126090"/>
      <w:bookmarkEnd w:id="43"/>
      <w:bookmarkEnd w:id="44"/>
      <w:r>
        <w:t xml:space="preserve">Reporting and </w:t>
      </w:r>
      <w:r w:rsidR="003A4BF9" w:rsidRPr="00681E86">
        <w:t>Acquittal of Funding</w:t>
      </w:r>
      <w:bookmarkEnd w:id="45"/>
    </w:p>
    <w:p w14:paraId="6E598CAF" w14:textId="77777777" w:rsidR="004A571D" w:rsidRPr="004A571D" w:rsidRDefault="004A571D" w:rsidP="004A571D">
      <w:pPr>
        <w:spacing w:before="0" w:after="0"/>
      </w:pPr>
    </w:p>
    <w:p w14:paraId="25E64A46" w14:textId="2D44E605" w:rsidR="006753A2" w:rsidRDefault="006753A2" w:rsidP="00EA27A3">
      <w:pPr>
        <w:pStyle w:val="Heading2"/>
        <w:spacing w:before="0" w:after="0"/>
      </w:pPr>
      <w:bookmarkStart w:id="46" w:name="_Toc224126091"/>
      <w:bookmarkStart w:id="47" w:name="_Hlk15573634"/>
      <w:bookmarkStart w:id="48" w:name="_Hlk15630813"/>
      <w:bookmarkStart w:id="49" w:name="_Hlk15556640"/>
      <w:r>
        <w:t>Reporting</w:t>
      </w:r>
      <w:bookmarkEnd w:id="46"/>
    </w:p>
    <w:p w14:paraId="029B3414" w14:textId="4AB4E417" w:rsidR="008F25AA" w:rsidRDefault="006753A2" w:rsidP="00EA27A3">
      <w:pPr>
        <w:spacing w:before="0" w:after="0"/>
      </w:pPr>
      <w:r>
        <w:t>All grant recipients must submit half-yearly progress reports via SmartyGrants</w:t>
      </w:r>
      <w:r w:rsidR="0062009B">
        <w:t>,</w:t>
      </w:r>
      <w:r>
        <w:t xml:space="preserve"> in the format </w:t>
      </w:r>
      <w:r w:rsidR="008F25AA">
        <w:t>outlined</w:t>
      </w:r>
      <w:r>
        <w:t xml:space="preserve"> in the </w:t>
      </w:r>
      <w:r w:rsidR="000F270B">
        <w:t>D</w:t>
      </w:r>
      <w:r>
        <w:t xml:space="preserve">eed of </w:t>
      </w:r>
      <w:r w:rsidR="000F270B">
        <w:t>G</w:t>
      </w:r>
      <w:r>
        <w:t>rant.</w:t>
      </w:r>
      <w:r w:rsidR="004A571D">
        <w:t xml:space="preserve"> </w:t>
      </w:r>
      <w:r w:rsidR="008F25AA" w:rsidRPr="008F25AA">
        <w:t xml:space="preserve">Recipients </w:t>
      </w:r>
      <w:r w:rsidR="00D92BEC">
        <w:t xml:space="preserve">will also </w:t>
      </w:r>
      <w:r w:rsidR="008F25AA" w:rsidRPr="008F25AA">
        <w:t xml:space="preserve">be required to participate evaluation </w:t>
      </w:r>
      <w:r w:rsidR="00D92BEC">
        <w:t xml:space="preserve">activities for </w:t>
      </w:r>
      <w:r w:rsidR="008F25AA" w:rsidRPr="008F25AA">
        <w:t xml:space="preserve">the </w:t>
      </w:r>
      <w:r w:rsidR="000F270B">
        <w:t>G</w:t>
      </w:r>
      <w:r w:rsidR="008F25AA" w:rsidRPr="008F25AA">
        <w:t>rant</w:t>
      </w:r>
      <w:r w:rsidR="000F270B">
        <w:t>s</w:t>
      </w:r>
      <w:r w:rsidR="008F25AA" w:rsidRPr="008F25AA">
        <w:t xml:space="preserve"> </w:t>
      </w:r>
      <w:r w:rsidR="000F270B">
        <w:t>P</w:t>
      </w:r>
      <w:r w:rsidR="008F25AA" w:rsidRPr="008F25AA">
        <w:t xml:space="preserve">rogram, as specified in the </w:t>
      </w:r>
      <w:r w:rsidR="0062009B">
        <w:t>D</w:t>
      </w:r>
      <w:r w:rsidR="008F25AA" w:rsidRPr="008F25AA">
        <w:t xml:space="preserve">eed of </w:t>
      </w:r>
      <w:r w:rsidR="0062009B">
        <w:t>G</w:t>
      </w:r>
      <w:r w:rsidR="008F25AA" w:rsidRPr="008F25AA">
        <w:t>rant.</w:t>
      </w:r>
    </w:p>
    <w:p w14:paraId="395BCF9E" w14:textId="77777777" w:rsidR="0086043C" w:rsidRDefault="0086043C" w:rsidP="00EA27A3">
      <w:pPr>
        <w:spacing w:before="0" w:after="0"/>
      </w:pPr>
    </w:p>
    <w:p w14:paraId="0A745454" w14:textId="0C7CE876" w:rsidR="0086043C" w:rsidRDefault="0086043C" w:rsidP="00EA27A3">
      <w:pPr>
        <w:spacing w:before="0" w:after="0"/>
      </w:pPr>
      <w:r w:rsidRPr="0086043C">
        <w:t>Reporting and evaluation requirements will be applied in a proportionate manner, taking into account project scale and organisational context. Skills Canberra is committed to working with grant recipients, particularly ACCOs, to ensure reporting processes do not place disproportionate or unintended cultural load on Aboriginal and Torres Strait Islander staff and organisations.</w:t>
      </w:r>
    </w:p>
    <w:p w14:paraId="1BA82230" w14:textId="77777777" w:rsidR="004A571D" w:rsidRDefault="004A571D" w:rsidP="00EA27A3">
      <w:pPr>
        <w:spacing w:before="0" w:after="0"/>
      </w:pPr>
    </w:p>
    <w:p w14:paraId="55BE23CC" w14:textId="619B1A5F" w:rsidR="006753A2" w:rsidRDefault="006753A2" w:rsidP="00EA27A3">
      <w:pPr>
        <w:pStyle w:val="Heading2"/>
        <w:spacing w:before="0" w:after="0"/>
      </w:pPr>
      <w:bookmarkStart w:id="50" w:name="_Toc224126092"/>
      <w:r>
        <w:t>Acquittal of funding</w:t>
      </w:r>
      <w:bookmarkEnd w:id="50"/>
    </w:p>
    <w:p w14:paraId="34C3812B" w14:textId="2A4B2CF5" w:rsidR="00547668" w:rsidRDefault="00547668" w:rsidP="00EA27A3">
      <w:pPr>
        <w:spacing w:before="0" w:after="0"/>
      </w:pPr>
      <w:r w:rsidRPr="00547668">
        <w:t xml:space="preserve">All funds must be expended within the timeframe specified in the Deed of Grant. An acquittal task will be created in SmartyGrants upon execution of the Deed. Within </w:t>
      </w:r>
      <w:r>
        <w:t>one</w:t>
      </w:r>
      <w:r w:rsidRPr="00547668">
        <w:t xml:space="preserve"> month after the grant end date, recipients must submit the completed acquittal and expenditure report in the required format. No further financial assistance will be provided until all outstanding grants have been acquitted.</w:t>
      </w:r>
    </w:p>
    <w:p w14:paraId="61F92AB4" w14:textId="77777777" w:rsidR="004A571D" w:rsidRDefault="004A571D" w:rsidP="00EA27A3">
      <w:pPr>
        <w:spacing w:before="0" w:after="0"/>
      </w:pPr>
    </w:p>
    <w:p w14:paraId="49031A4D" w14:textId="77777777" w:rsidR="00DA2D35" w:rsidRDefault="00DA2D35" w:rsidP="00EA27A3">
      <w:pPr>
        <w:pStyle w:val="Heading1"/>
        <w:spacing w:before="0" w:after="0"/>
      </w:pPr>
      <w:bookmarkStart w:id="51" w:name="_Toc3462000"/>
      <w:bookmarkStart w:id="52" w:name="_Toc224126093"/>
      <w:bookmarkStart w:id="53" w:name="_Hlk15558488"/>
      <w:bookmarkStart w:id="54" w:name="_Hlk15573861"/>
      <w:bookmarkEnd w:id="47"/>
      <w:bookmarkEnd w:id="48"/>
      <w:bookmarkEnd w:id="49"/>
      <w:r w:rsidRPr="00681E86">
        <w:lastRenderedPageBreak/>
        <w:t>Important Information for Applicants</w:t>
      </w:r>
      <w:bookmarkEnd w:id="51"/>
      <w:bookmarkEnd w:id="52"/>
    </w:p>
    <w:p w14:paraId="47028668" w14:textId="77777777" w:rsidR="004A571D" w:rsidRPr="004A571D" w:rsidRDefault="004A571D" w:rsidP="004A571D">
      <w:pPr>
        <w:spacing w:before="0" w:after="0"/>
      </w:pPr>
    </w:p>
    <w:p w14:paraId="1714D19E" w14:textId="77777777" w:rsidR="00DA2D35" w:rsidRPr="00681E86" w:rsidRDefault="00DA2D35" w:rsidP="00EA27A3">
      <w:pPr>
        <w:pStyle w:val="Heading2"/>
        <w:numPr>
          <w:ilvl w:val="0"/>
          <w:numId w:val="11"/>
        </w:numPr>
        <w:spacing w:before="0" w:after="0"/>
      </w:pPr>
      <w:bookmarkStart w:id="55" w:name="_Toc3462001"/>
      <w:bookmarkStart w:id="56" w:name="_Toc224126094"/>
      <w:bookmarkStart w:id="57" w:name="_Hlk15573948"/>
      <w:r w:rsidRPr="00681E86">
        <w:t>Accessibility</w:t>
      </w:r>
      <w:bookmarkEnd w:id="55"/>
      <w:bookmarkEnd w:id="56"/>
      <w:r w:rsidRPr="00681E86">
        <w:t xml:space="preserve"> </w:t>
      </w:r>
    </w:p>
    <w:bookmarkEnd w:id="57"/>
    <w:p w14:paraId="74CDE29B" w14:textId="5B7B40E7" w:rsidR="006753A2" w:rsidRDefault="00547668" w:rsidP="00EA27A3">
      <w:pPr>
        <w:pStyle w:val="NormalWeb"/>
        <w:spacing w:before="0" w:beforeAutospacing="0" w:after="0" w:afterAutospacing="0"/>
        <w:ind w:left="709"/>
        <w:jc w:val="both"/>
        <w:rPr>
          <w:rFonts w:ascii="Calibri" w:hAnsi="Calibri" w:cs="Calibri"/>
        </w:rPr>
      </w:pPr>
      <w:r w:rsidRPr="00547668">
        <w:rPr>
          <w:rFonts w:ascii="Calibri" w:hAnsi="Calibri" w:cs="Calibri"/>
        </w:rPr>
        <w:t>If you need this publication in an alternative format, call Access Canberra on 13 22 81. For Translating and Interpreting Services, call 131 450. For the National Relay Service, call 131</w:t>
      </w:r>
      <w:r w:rsidR="00F94484">
        <w:rPr>
          <w:rFonts w:ascii="Calibri" w:hAnsi="Calibri" w:cs="Calibri"/>
        </w:rPr>
        <w:t> </w:t>
      </w:r>
      <w:r w:rsidRPr="00547668">
        <w:rPr>
          <w:rFonts w:ascii="Calibri" w:hAnsi="Calibri" w:cs="Calibri"/>
        </w:rPr>
        <w:t>677.</w:t>
      </w:r>
    </w:p>
    <w:p w14:paraId="679EEE21" w14:textId="77777777" w:rsidR="004A571D" w:rsidRDefault="004A571D" w:rsidP="00EA27A3">
      <w:pPr>
        <w:pStyle w:val="NormalWeb"/>
        <w:spacing w:before="0" w:beforeAutospacing="0" w:after="0" w:afterAutospacing="0"/>
        <w:ind w:left="709"/>
        <w:jc w:val="both"/>
        <w:rPr>
          <w:rFonts w:ascii="Calibri" w:hAnsi="Calibri" w:cs="Calibri"/>
        </w:rPr>
      </w:pPr>
    </w:p>
    <w:p w14:paraId="793313C5" w14:textId="7B834F4E" w:rsidR="00DA2D35" w:rsidRPr="00681E86" w:rsidRDefault="00DA2D35" w:rsidP="00EA27A3">
      <w:pPr>
        <w:pStyle w:val="Heading2"/>
        <w:numPr>
          <w:ilvl w:val="0"/>
          <w:numId w:val="11"/>
        </w:numPr>
        <w:spacing w:before="0" w:after="0"/>
      </w:pPr>
      <w:bookmarkStart w:id="58" w:name="_Toc3462002"/>
      <w:bookmarkStart w:id="59" w:name="_Toc224126095"/>
      <w:r w:rsidRPr="00681E86">
        <w:t>When to submit your application</w:t>
      </w:r>
      <w:bookmarkEnd w:id="58"/>
      <w:bookmarkEnd w:id="59"/>
      <w:r w:rsidRPr="00681E86">
        <w:t xml:space="preserve"> </w:t>
      </w:r>
    </w:p>
    <w:p w14:paraId="2B6AD4AD" w14:textId="1CE76EC7" w:rsidR="004532AE" w:rsidRPr="00687926" w:rsidRDefault="004532AE" w:rsidP="00EA27A3">
      <w:pPr>
        <w:numPr>
          <w:ilvl w:val="0"/>
          <w:numId w:val="10"/>
        </w:numPr>
        <w:spacing w:before="0" w:after="0"/>
        <w:jc w:val="both"/>
        <w:rPr>
          <w:rFonts w:cs="Calibri"/>
          <w:szCs w:val="24"/>
        </w:rPr>
      </w:pPr>
      <w:bookmarkStart w:id="60" w:name="_Hlk18485209"/>
      <w:r w:rsidRPr="00687926">
        <w:rPr>
          <w:rFonts w:cs="Calibri"/>
          <w:szCs w:val="24"/>
        </w:rPr>
        <w:t xml:space="preserve">Applications open </w:t>
      </w:r>
      <w:r w:rsidR="006753A2" w:rsidRPr="00687926">
        <w:rPr>
          <w:rFonts w:cs="Calibri"/>
          <w:szCs w:val="24"/>
        </w:rPr>
        <w:t>9</w:t>
      </w:r>
      <w:r w:rsidR="00422085" w:rsidRPr="00687926">
        <w:rPr>
          <w:rFonts w:cs="Calibri"/>
          <w:szCs w:val="24"/>
        </w:rPr>
        <w:t>:00</w:t>
      </w:r>
      <w:r w:rsidRPr="00687926">
        <w:rPr>
          <w:rFonts w:cs="Calibri"/>
          <w:szCs w:val="24"/>
        </w:rPr>
        <w:t>am</w:t>
      </w:r>
      <w:r w:rsidR="006753A2" w:rsidRPr="00687926">
        <w:rPr>
          <w:rFonts w:cs="Calibri"/>
          <w:szCs w:val="24"/>
        </w:rPr>
        <w:t xml:space="preserve">, Tuesday </w:t>
      </w:r>
      <w:r w:rsidR="000E33D5" w:rsidRPr="00687926">
        <w:rPr>
          <w:rFonts w:cs="Calibri"/>
          <w:szCs w:val="24"/>
        </w:rPr>
        <w:t>2</w:t>
      </w:r>
      <w:r w:rsidR="003343E9" w:rsidRPr="00687926">
        <w:rPr>
          <w:rFonts w:cs="Calibri"/>
          <w:szCs w:val="24"/>
        </w:rPr>
        <w:t>1</w:t>
      </w:r>
      <w:r w:rsidR="006753A2" w:rsidRPr="00687926">
        <w:rPr>
          <w:rFonts w:cs="Calibri"/>
          <w:szCs w:val="24"/>
        </w:rPr>
        <w:t xml:space="preserve"> </w:t>
      </w:r>
      <w:r w:rsidR="003343E9" w:rsidRPr="00687926">
        <w:rPr>
          <w:rFonts w:cs="Calibri"/>
          <w:szCs w:val="24"/>
        </w:rPr>
        <w:t>April</w:t>
      </w:r>
      <w:r w:rsidR="006753A2" w:rsidRPr="00687926">
        <w:rPr>
          <w:rFonts w:cs="Calibri"/>
          <w:szCs w:val="24"/>
        </w:rPr>
        <w:t xml:space="preserve"> 2026</w:t>
      </w:r>
      <w:r w:rsidRPr="00687926">
        <w:rPr>
          <w:rFonts w:cs="Calibri"/>
          <w:szCs w:val="24"/>
        </w:rPr>
        <w:t>.</w:t>
      </w:r>
    </w:p>
    <w:p w14:paraId="3C6DCA8A" w14:textId="38B2AA76" w:rsidR="004532AE" w:rsidRPr="00687926" w:rsidRDefault="004532AE" w:rsidP="00EA27A3">
      <w:pPr>
        <w:numPr>
          <w:ilvl w:val="0"/>
          <w:numId w:val="10"/>
        </w:numPr>
        <w:spacing w:before="0" w:after="0"/>
        <w:jc w:val="both"/>
        <w:rPr>
          <w:rFonts w:cs="Calibri"/>
          <w:szCs w:val="24"/>
        </w:rPr>
      </w:pPr>
      <w:r w:rsidRPr="00687926">
        <w:rPr>
          <w:rFonts w:cs="Calibri"/>
          <w:szCs w:val="24"/>
        </w:rPr>
        <w:t xml:space="preserve">Applications close </w:t>
      </w:r>
      <w:r w:rsidR="006753A2" w:rsidRPr="00687926">
        <w:rPr>
          <w:rFonts w:cs="Calibri"/>
          <w:szCs w:val="24"/>
        </w:rPr>
        <w:t>5</w:t>
      </w:r>
      <w:r w:rsidR="00422085" w:rsidRPr="00687926">
        <w:rPr>
          <w:rFonts w:cs="Calibri"/>
          <w:szCs w:val="24"/>
        </w:rPr>
        <w:t>:00</w:t>
      </w:r>
      <w:r w:rsidR="006753A2" w:rsidRPr="00687926">
        <w:rPr>
          <w:rFonts w:cs="Calibri"/>
          <w:szCs w:val="24"/>
        </w:rPr>
        <w:t>pm, T</w:t>
      </w:r>
      <w:r w:rsidR="008A198A">
        <w:rPr>
          <w:rFonts w:cs="Calibri"/>
          <w:szCs w:val="24"/>
        </w:rPr>
        <w:t>hurs</w:t>
      </w:r>
      <w:r w:rsidR="006753A2" w:rsidRPr="00687926">
        <w:rPr>
          <w:rFonts w:cs="Calibri"/>
          <w:szCs w:val="24"/>
        </w:rPr>
        <w:t xml:space="preserve">day </w:t>
      </w:r>
      <w:r w:rsidR="008A198A">
        <w:rPr>
          <w:rFonts w:cs="Calibri"/>
          <w:szCs w:val="24"/>
        </w:rPr>
        <w:t>4</w:t>
      </w:r>
      <w:r w:rsidR="006753A2" w:rsidRPr="00687926">
        <w:rPr>
          <w:rFonts w:cs="Calibri"/>
          <w:szCs w:val="24"/>
        </w:rPr>
        <w:t xml:space="preserve"> </w:t>
      </w:r>
      <w:r w:rsidR="008A198A">
        <w:rPr>
          <w:rFonts w:cs="Calibri"/>
          <w:szCs w:val="24"/>
        </w:rPr>
        <w:t>June</w:t>
      </w:r>
      <w:r w:rsidR="006753A2" w:rsidRPr="00687926">
        <w:rPr>
          <w:rFonts w:cs="Calibri"/>
          <w:szCs w:val="24"/>
        </w:rPr>
        <w:t xml:space="preserve"> 2026</w:t>
      </w:r>
      <w:r w:rsidR="00FC5E69" w:rsidRPr="00687926">
        <w:rPr>
          <w:rFonts w:cs="Calibri"/>
          <w:szCs w:val="24"/>
        </w:rPr>
        <w:t>.</w:t>
      </w:r>
    </w:p>
    <w:p w14:paraId="7315C86B" w14:textId="77777777" w:rsidR="004A571D" w:rsidRPr="00687926" w:rsidRDefault="004A571D" w:rsidP="00EA27A3">
      <w:pPr>
        <w:spacing w:before="0" w:after="0"/>
        <w:ind w:left="0" w:firstLine="720"/>
        <w:rPr>
          <w:rFonts w:cs="Calibri"/>
          <w:szCs w:val="24"/>
        </w:rPr>
      </w:pPr>
    </w:p>
    <w:p w14:paraId="2FD3E2D3" w14:textId="5765B723" w:rsidR="0086043C" w:rsidRPr="00EB22C3" w:rsidRDefault="0086043C" w:rsidP="004C39AB">
      <w:pPr>
        <w:pStyle w:val="NormalWeb"/>
        <w:spacing w:before="0" w:beforeAutospacing="0" w:after="0" w:afterAutospacing="0"/>
        <w:ind w:left="709"/>
        <w:jc w:val="both"/>
        <w:rPr>
          <w:rFonts w:cs="Calibri"/>
        </w:rPr>
      </w:pPr>
      <w:r w:rsidRPr="004C39AB">
        <w:rPr>
          <w:rFonts w:ascii="Calibri" w:hAnsi="Calibri" w:cs="Calibri"/>
        </w:rPr>
        <w:t>The ACT Government recognises that some organisations, particularly ACCOs, may require additional time for community consultation and governance approvals. Where appropriate, Skills Canberra may work with applicants to provide flexibility in timeframes to support equitable participation.</w:t>
      </w:r>
    </w:p>
    <w:p w14:paraId="68BA656E" w14:textId="77777777" w:rsidR="004A571D" w:rsidRPr="006753A2" w:rsidRDefault="004A571D" w:rsidP="00EA27A3">
      <w:pPr>
        <w:spacing w:before="0" w:after="0"/>
        <w:ind w:left="0" w:firstLine="720"/>
        <w:rPr>
          <w:rFonts w:cs="Calibri"/>
          <w:szCs w:val="24"/>
        </w:rPr>
      </w:pPr>
    </w:p>
    <w:p w14:paraId="44CAF7C0" w14:textId="696712F2" w:rsidR="00422085" w:rsidRDefault="00DA2D35" w:rsidP="00EA27A3">
      <w:pPr>
        <w:pStyle w:val="Heading2"/>
        <w:numPr>
          <w:ilvl w:val="0"/>
          <w:numId w:val="7"/>
        </w:numPr>
        <w:spacing w:before="0" w:after="0"/>
      </w:pPr>
      <w:bookmarkStart w:id="61" w:name="_Toc3462003"/>
      <w:bookmarkStart w:id="62" w:name="_Toc224126096"/>
      <w:bookmarkEnd w:id="60"/>
      <w:r w:rsidRPr="00681E86">
        <w:t>How to submit your application</w:t>
      </w:r>
      <w:bookmarkEnd w:id="61"/>
      <w:bookmarkEnd w:id="62"/>
    </w:p>
    <w:p w14:paraId="54E24C11" w14:textId="446DFA07" w:rsidR="00422085" w:rsidRPr="00422085" w:rsidRDefault="00422085" w:rsidP="00EA27A3">
      <w:pPr>
        <w:spacing w:before="0" w:after="0"/>
        <w:rPr>
          <w:rFonts w:cs="Calibri"/>
          <w:szCs w:val="24"/>
        </w:rPr>
      </w:pPr>
      <w:r w:rsidRPr="00422085">
        <w:rPr>
          <w:rFonts w:cs="Calibri"/>
          <w:szCs w:val="24"/>
        </w:rPr>
        <w:t xml:space="preserve">Submit applications via </w:t>
      </w:r>
      <w:hyperlink r:id="rId28" w:history="1">
        <w:r w:rsidRPr="00F0325A">
          <w:rPr>
            <w:rStyle w:val="Hyperlink"/>
            <w:rFonts w:cs="Calibri"/>
            <w:szCs w:val="24"/>
          </w:rPr>
          <w:t>https://CMTEDD.smartygrants.com.au/2026VETCompletionsGrants</w:t>
        </w:r>
      </w:hyperlink>
      <w:r>
        <w:rPr>
          <w:rFonts w:cs="Calibri"/>
          <w:szCs w:val="24"/>
        </w:rPr>
        <w:t xml:space="preserve">. </w:t>
      </w:r>
      <w:r w:rsidRPr="00422085">
        <w:rPr>
          <w:rFonts w:cs="Calibri"/>
          <w:szCs w:val="24"/>
        </w:rPr>
        <w:t>You will need to create a login. The form will be available when the round opens.</w:t>
      </w:r>
    </w:p>
    <w:p w14:paraId="449F30B1" w14:textId="77777777" w:rsidR="0060044A" w:rsidRDefault="0060044A" w:rsidP="00EA27A3">
      <w:pPr>
        <w:spacing w:before="0" w:after="0"/>
        <w:rPr>
          <w:rFonts w:cs="Calibri"/>
          <w:szCs w:val="24"/>
        </w:rPr>
      </w:pPr>
    </w:p>
    <w:p w14:paraId="088D01CB" w14:textId="7781AB8D" w:rsidR="00422085" w:rsidRDefault="00422085" w:rsidP="00EA27A3">
      <w:pPr>
        <w:spacing w:before="0" w:after="0"/>
        <w:rPr>
          <w:rFonts w:cs="Calibri"/>
          <w:szCs w:val="24"/>
        </w:rPr>
      </w:pPr>
      <w:r w:rsidRPr="00422085">
        <w:rPr>
          <w:rFonts w:cs="Calibri"/>
          <w:szCs w:val="24"/>
        </w:rPr>
        <w:t xml:space="preserve">For help using SmartyGrants, see: </w:t>
      </w:r>
      <w:hyperlink r:id="rId29" w:history="1">
        <w:r w:rsidRPr="00F0325A">
          <w:rPr>
            <w:rStyle w:val="Hyperlink"/>
            <w:rFonts w:cs="Calibri"/>
            <w:szCs w:val="24"/>
          </w:rPr>
          <w:t>http://help.smartygrants.com.au/display/help/Help+Guide+for+Applicants</w:t>
        </w:r>
      </w:hyperlink>
    </w:p>
    <w:p w14:paraId="06019E4B" w14:textId="77777777" w:rsidR="0060044A" w:rsidRDefault="0060044A" w:rsidP="00EA27A3">
      <w:pPr>
        <w:spacing w:before="0" w:after="0"/>
        <w:rPr>
          <w:rFonts w:cs="Calibri"/>
          <w:szCs w:val="24"/>
        </w:rPr>
      </w:pPr>
    </w:p>
    <w:p w14:paraId="248A8584" w14:textId="2A1BC281" w:rsidR="00422085" w:rsidRDefault="00422085" w:rsidP="00EA27A3">
      <w:pPr>
        <w:spacing w:before="0" w:after="0"/>
        <w:rPr>
          <w:rFonts w:cs="Calibri"/>
          <w:szCs w:val="24"/>
        </w:rPr>
      </w:pPr>
      <w:r>
        <w:rPr>
          <w:rFonts w:cs="Calibri"/>
          <w:szCs w:val="24"/>
        </w:rPr>
        <w:t>For q</w:t>
      </w:r>
      <w:r w:rsidRPr="00422085">
        <w:rPr>
          <w:rFonts w:cs="Calibri"/>
          <w:szCs w:val="24"/>
        </w:rPr>
        <w:t>uestions about the guidelines or eligibility</w:t>
      </w:r>
      <w:r>
        <w:rPr>
          <w:rFonts w:cs="Calibri"/>
          <w:szCs w:val="24"/>
        </w:rPr>
        <w:t xml:space="preserve"> contact</w:t>
      </w:r>
      <w:r w:rsidRPr="00422085">
        <w:rPr>
          <w:rFonts w:cs="Calibri"/>
          <w:szCs w:val="24"/>
        </w:rPr>
        <w:t xml:space="preserve"> 6205 4006 or </w:t>
      </w:r>
      <w:hyperlink r:id="rId30" w:history="1">
        <w:r w:rsidRPr="00F0325A">
          <w:rPr>
            <w:rStyle w:val="Hyperlink"/>
            <w:rFonts w:cs="Calibri"/>
            <w:szCs w:val="24"/>
          </w:rPr>
          <w:t>skills.projects@act.gov.au</w:t>
        </w:r>
      </w:hyperlink>
    </w:p>
    <w:p w14:paraId="48BF6766" w14:textId="77777777" w:rsidR="0060044A" w:rsidRDefault="0060044A" w:rsidP="00EA27A3">
      <w:pPr>
        <w:spacing w:before="0" w:after="0"/>
        <w:rPr>
          <w:rFonts w:cs="Calibri"/>
          <w:szCs w:val="24"/>
        </w:rPr>
      </w:pPr>
    </w:p>
    <w:p w14:paraId="708867AF" w14:textId="0722450B" w:rsidR="006753A2" w:rsidRDefault="00422085" w:rsidP="00EA27A3">
      <w:pPr>
        <w:spacing w:before="0" w:after="0"/>
      </w:pPr>
      <w:r w:rsidRPr="00422085">
        <w:rPr>
          <w:rFonts w:cs="Calibri"/>
          <w:szCs w:val="24"/>
        </w:rPr>
        <w:t xml:space="preserve">If you have difficulty accessing the form or an error occurs, contact Business Services: </w:t>
      </w:r>
      <w:hyperlink r:id="rId31" w:history="1">
        <w:r w:rsidRPr="00F0325A">
          <w:rPr>
            <w:rStyle w:val="Hyperlink"/>
            <w:rFonts w:cs="Calibri"/>
            <w:szCs w:val="24"/>
          </w:rPr>
          <w:t>economicdevelopmentgrants@act.gov.au</w:t>
        </w:r>
      </w:hyperlink>
    </w:p>
    <w:p w14:paraId="4FC32D58" w14:textId="77777777" w:rsidR="0060044A" w:rsidRDefault="0060044A" w:rsidP="00EA27A3">
      <w:pPr>
        <w:spacing w:before="0" w:after="0"/>
        <w:rPr>
          <w:rFonts w:cs="Calibri"/>
          <w:szCs w:val="24"/>
        </w:rPr>
      </w:pPr>
    </w:p>
    <w:p w14:paraId="3B092941" w14:textId="77777777" w:rsidR="00DA2D35" w:rsidRPr="00681E86" w:rsidRDefault="00DA2D35" w:rsidP="00EA27A3">
      <w:pPr>
        <w:pStyle w:val="Heading2"/>
        <w:numPr>
          <w:ilvl w:val="0"/>
          <w:numId w:val="7"/>
        </w:numPr>
        <w:spacing w:before="0" w:after="0"/>
      </w:pPr>
      <w:bookmarkStart w:id="63" w:name="_Toc3462004"/>
      <w:bookmarkStart w:id="64" w:name="_Toc224126097"/>
      <w:r w:rsidRPr="00681E86">
        <w:t>Addendum</w:t>
      </w:r>
      <w:bookmarkEnd w:id="63"/>
      <w:bookmarkEnd w:id="64"/>
    </w:p>
    <w:p w14:paraId="62CEAE66" w14:textId="231A39FD" w:rsidR="0039463D" w:rsidRDefault="00422085" w:rsidP="00EA27A3">
      <w:pPr>
        <w:spacing w:before="0" w:after="0"/>
        <w:jc w:val="both"/>
        <w:rPr>
          <w:rFonts w:cs="Calibri"/>
          <w:szCs w:val="24"/>
        </w:rPr>
      </w:pPr>
      <w:bookmarkStart w:id="65" w:name="_Toc416446612"/>
      <w:bookmarkStart w:id="66" w:name="_Toc416687366"/>
      <w:r w:rsidRPr="00422085">
        <w:rPr>
          <w:rFonts w:cs="Calibri"/>
          <w:szCs w:val="24"/>
        </w:rPr>
        <w:t xml:space="preserve">Any additional information will be posted on Skills Canberra’s Grants webpage. Applicants who have started or submitted an application will be notified by </w:t>
      </w:r>
      <w:r>
        <w:rPr>
          <w:rFonts w:cs="Calibri"/>
          <w:szCs w:val="24"/>
        </w:rPr>
        <w:t xml:space="preserve">the </w:t>
      </w:r>
      <w:r w:rsidRPr="00422085">
        <w:rPr>
          <w:rFonts w:cs="Calibri"/>
          <w:szCs w:val="24"/>
        </w:rPr>
        <w:t xml:space="preserve">email </w:t>
      </w:r>
      <w:r>
        <w:rPr>
          <w:rFonts w:cs="Calibri"/>
          <w:szCs w:val="24"/>
        </w:rPr>
        <w:t>registered on</w:t>
      </w:r>
      <w:r w:rsidRPr="00422085">
        <w:rPr>
          <w:rFonts w:cs="Calibri"/>
          <w:szCs w:val="24"/>
        </w:rPr>
        <w:t xml:space="preserve"> SmartyGrants.</w:t>
      </w:r>
    </w:p>
    <w:p w14:paraId="1F261194" w14:textId="77777777" w:rsidR="0060044A" w:rsidRDefault="0060044A" w:rsidP="00EA27A3">
      <w:pPr>
        <w:spacing w:before="0" w:after="0"/>
        <w:jc w:val="both"/>
        <w:rPr>
          <w:rFonts w:cs="Calibri"/>
          <w:szCs w:val="24"/>
        </w:rPr>
      </w:pPr>
    </w:p>
    <w:p w14:paraId="250CB3BF" w14:textId="77777777" w:rsidR="00DA2D35" w:rsidRPr="00681E86" w:rsidRDefault="00DA2D35" w:rsidP="00EA27A3">
      <w:pPr>
        <w:pStyle w:val="Heading2"/>
        <w:numPr>
          <w:ilvl w:val="0"/>
          <w:numId w:val="7"/>
        </w:numPr>
        <w:spacing w:before="0" w:after="0"/>
      </w:pPr>
      <w:bookmarkStart w:id="67" w:name="_Toc466989636"/>
      <w:bookmarkStart w:id="68" w:name="_Toc3462005"/>
      <w:bookmarkStart w:id="69" w:name="_Toc224126098"/>
      <w:bookmarkEnd w:id="65"/>
      <w:bookmarkEnd w:id="66"/>
      <w:r w:rsidRPr="00681E86">
        <w:t>Confidentiality</w:t>
      </w:r>
      <w:bookmarkEnd w:id="67"/>
      <w:bookmarkEnd w:id="68"/>
      <w:bookmarkEnd w:id="69"/>
    </w:p>
    <w:p w14:paraId="23216EC3" w14:textId="3BC0E7BA" w:rsidR="0039463D" w:rsidRDefault="00422085" w:rsidP="00EA27A3">
      <w:pPr>
        <w:spacing w:before="0" w:after="0"/>
        <w:jc w:val="both"/>
        <w:rPr>
          <w:rFonts w:cs="Calibri"/>
          <w:szCs w:val="24"/>
        </w:rPr>
      </w:pPr>
      <w:r w:rsidRPr="00422085">
        <w:rPr>
          <w:rFonts w:cs="Calibri"/>
          <w:szCs w:val="24"/>
        </w:rPr>
        <w:t xml:space="preserve">All material submitted to the Chief Minister, Treasury and Economic Development Directorate is provided in confidence. The ACT Government may promote successful applicants for the mutual benefit of the Program and the applicant. The provisions of the </w:t>
      </w:r>
      <w:r w:rsidRPr="00422085">
        <w:rPr>
          <w:rFonts w:cs="Calibri"/>
          <w:i/>
          <w:iCs/>
          <w:szCs w:val="24"/>
        </w:rPr>
        <w:t>Freedom of Information Act 2016</w:t>
      </w:r>
      <w:r w:rsidRPr="00422085">
        <w:rPr>
          <w:rFonts w:cs="Calibri"/>
          <w:szCs w:val="24"/>
        </w:rPr>
        <w:t xml:space="preserve"> apply to documents in the Directorate’s possession.</w:t>
      </w:r>
    </w:p>
    <w:p w14:paraId="69BA855C" w14:textId="77777777" w:rsidR="0060044A" w:rsidRDefault="0060044A" w:rsidP="00EA27A3">
      <w:pPr>
        <w:spacing w:before="0" w:after="0"/>
        <w:jc w:val="both"/>
        <w:rPr>
          <w:rFonts w:cs="Calibri"/>
          <w:szCs w:val="24"/>
        </w:rPr>
      </w:pPr>
    </w:p>
    <w:p w14:paraId="1573DD1E" w14:textId="77777777" w:rsidR="00DA2D35" w:rsidRPr="00681E86" w:rsidRDefault="00DA2D35" w:rsidP="00EA27A3">
      <w:pPr>
        <w:pStyle w:val="Heading2"/>
        <w:numPr>
          <w:ilvl w:val="0"/>
          <w:numId w:val="7"/>
        </w:numPr>
        <w:spacing w:before="0" w:after="0"/>
      </w:pPr>
      <w:bookmarkStart w:id="70" w:name="_Toc416686970"/>
      <w:bookmarkStart w:id="71" w:name="_Toc3462006"/>
      <w:bookmarkStart w:id="72" w:name="_Toc224126099"/>
      <w:r w:rsidRPr="00681E86">
        <w:t>Complaints</w:t>
      </w:r>
      <w:bookmarkEnd w:id="70"/>
      <w:bookmarkEnd w:id="71"/>
      <w:bookmarkEnd w:id="72"/>
    </w:p>
    <w:p w14:paraId="5349844A" w14:textId="77777777" w:rsidR="00B6265B" w:rsidRDefault="00B6265B" w:rsidP="00EA27A3">
      <w:pPr>
        <w:pStyle w:val="Example"/>
        <w:spacing w:before="0" w:after="0"/>
        <w:rPr>
          <w:color w:val="auto"/>
        </w:rPr>
      </w:pPr>
      <w:r w:rsidRPr="0039463D">
        <w:rPr>
          <w:color w:val="auto"/>
        </w:rPr>
        <w:t xml:space="preserve">A complaint is defined as an expression of dissatisfaction in relation to the application process and/or an unsuccessful application for a </w:t>
      </w:r>
      <w:r w:rsidR="00A427EF" w:rsidRPr="0039463D">
        <w:rPr>
          <w:color w:val="auto"/>
        </w:rPr>
        <w:t>G</w:t>
      </w:r>
      <w:r w:rsidRPr="0039463D">
        <w:rPr>
          <w:color w:val="auto"/>
        </w:rPr>
        <w:t xml:space="preserve">rant. </w:t>
      </w:r>
    </w:p>
    <w:p w14:paraId="54DB5007" w14:textId="77777777" w:rsidR="0060044A" w:rsidRPr="0039463D" w:rsidRDefault="0060044A" w:rsidP="00EA27A3">
      <w:pPr>
        <w:pStyle w:val="Example"/>
        <w:spacing w:before="0" w:after="0"/>
        <w:rPr>
          <w:color w:val="auto"/>
        </w:rPr>
      </w:pPr>
    </w:p>
    <w:p w14:paraId="4664FFFF" w14:textId="77777777" w:rsidR="00B6265B" w:rsidRDefault="00B6265B" w:rsidP="00EA27A3">
      <w:pPr>
        <w:pStyle w:val="Example"/>
        <w:spacing w:before="0" w:after="0"/>
        <w:rPr>
          <w:color w:val="auto"/>
        </w:rPr>
      </w:pPr>
      <w:r w:rsidRPr="0039463D">
        <w:rPr>
          <w:color w:val="auto"/>
        </w:rPr>
        <w:t xml:space="preserve">You or your representatives have the right to raise your concerns. This information supports us to improve services and supports your right to ask questions about the </w:t>
      </w:r>
      <w:r w:rsidR="008D1A04" w:rsidRPr="0039463D">
        <w:rPr>
          <w:color w:val="auto"/>
        </w:rPr>
        <w:t>G</w:t>
      </w:r>
      <w:r w:rsidRPr="0039463D">
        <w:rPr>
          <w:color w:val="auto"/>
        </w:rPr>
        <w:t>rant application process as well as decisions made in relation to an unsuccessful application.</w:t>
      </w:r>
    </w:p>
    <w:p w14:paraId="0DF91D6D" w14:textId="77777777" w:rsidR="0060044A" w:rsidRPr="0039463D" w:rsidRDefault="0060044A" w:rsidP="00EA27A3">
      <w:pPr>
        <w:pStyle w:val="Example"/>
        <w:spacing w:before="0" w:after="0"/>
        <w:rPr>
          <w:color w:val="auto"/>
        </w:rPr>
      </w:pPr>
    </w:p>
    <w:p w14:paraId="2BBDAFCE" w14:textId="77777777" w:rsidR="00B6265B" w:rsidRPr="0039463D" w:rsidRDefault="00B6265B" w:rsidP="00EA27A3">
      <w:pPr>
        <w:pStyle w:val="Example"/>
        <w:spacing w:before="0" w:after="0"/>
        <w:rPr>
          <w:color w:val="auto"/>
        </w:rPr>
      </w:pPr>
      <w:r w:rsidRPr="0039463D">
        <w:rPr>
          <w:color w:val="auto"/>
        </w:rPr>
        <w:lastRenderedPageBreak/>
        <w:t>You can expect to:</w:t>
      </w:r>
    </w:p>
    <w:p w14:paraId="270E4755" w14:textId="77777777" w:rsidR="00B6265B" w:rsidRPr="0039463D" w:rsidRDefault="00B6265B" w:rsidP="00EA27A3">
      <w:pPr>
        <w:numPr>
          <w:ilvl w:val="1"/>
          <w:numId w:val="9"/>
        </w:numPr>
        <w:spacing w:before="0" w:after="0"/>
        <w:ind w:left="1134" w:hanging="425"/>
        <w:jc w:val="both"/>
        <w:rPr>
          <w:rFonts w:cs="Calibri"/>
          <w:szCs w:val="24"/>
        </w:rPr>
      </w:pPr>
      <w:r w:rsidRPr="0039463D">
        <w:rPr>
          <w:rFonts w:cs="Calibri"/>
          <w:szCs w:val="24"/>
        </w:rPr>
        <w:t>be treated respectfully, fairly and in confidence;</w:t>
      </w:r>
    </w:p>
    <w:p w14:paraId="69D34505" w14:textId="77777777" w:rsidR="00B6265B" w:rsidRPr="0039463D" w:rsidRDefault="00B6265B" w:rsidP="00EA27A3">
      <w:pPr>
        <w:numPr>
          <w:ilvl w:val="1"/>
          <w:numId w:val="9"/>
        </w:numPr>
        <w:spacing w:before="0" w:after="0"/>
        <w:ind w:left="1134" w:hanging="425"/>
        <w:jc w:val="both"/>
        <w:rPr>
          <w:rFonts w:cs="Calibri"/>
          <w:szCs w:val="24"/>
        </w:rPr>
      </w:pPr>
      <w:r w:rsidRPr="0039463D">
        <w:rPr>
          <w:rFonts w:cs="Calibri"/>
          <w:szCs w:val="24"/>
        </w:rPr>
        <w:t>have your concerns dealt with as soon as possible;</w:t>
      </w:r>
    </w:p>
    <w:p w14:paraId="690BB30C" w14:textId="77777777" w:rsidR="00B6265B" w:rsidRPr="0039463D" w:rsidRDefault="00B6265B" w:rsidP="00EA27A3">
      <w:pPr>
        <w:numPr>
          <w:ilvl w:val="1"/>
          <w:numId w:val="9"/>
        </w:numPr>
        <w:spacing w:before="0" w:after="0"/>
        <w:ind w:left="1134" w:hanging="425"/>
        <w:jc w:val="both"/>
        <w:rPr>
          <w:rFonts w:cs="Calibri"/>
          <w:szCs w:val="24"/>
        </w:rPr>
      </w:pPr>
      <w:r w:rsidRPr="0039463D">
        <w:rPr>
          <w:rFonts w:cs="Calibri"/>
          <w:szCs w:val="24"/>
        </w:rPr>
        <w:t>be informed of progress; and</w:t>
      </w:r>
    </w:p>
    <w:p w14:paraId="00E0B239" w14:textId="77777777" w:rsidR="00B6265B" w:rsidRDefault="00B6265B" w:rsidP="00EA27A3">
      <w:pPr>
        <w:numPr>
          <w:ilvl w:val="1"/>
          <w:numId w:val="9"/>
        </w:numPr>
        <w:spacing w:before="0" w:after="0"/>
        <w:ind w:left="1134" w:hanging="425"/>
        <w:jc w:val="both"/>
        <w:rPr>
          <w:rFonts w:cs="Calibri"/>
          <w:szCs w:val="24"/>
        </w:rPr>
      </w:pPr>
      <w:r w:rsidRPr="0039463D">
        <w:rPr>
          <w:rFonts w:cs="Calibri"/>
          <w:szCs w:val="24"/>
        </w:rPr>
        <w:t>be told of the outcome.</w:t>
      </w:r>
    </w:p>
    <w:p w14:paraId="47E78C1D" w14:textId="77777777" w:rsidR="0060044A" w:rsidRPr="0039463D" w:rsidRDefault="0060044A" w:rsidP="0060044A">
      <w:pPr>
        <w:spacing w:before="0" w:after="0"/>
        <w:ind w:left="1134"/>
        <w:jc w:val="both"/>
        <w:rPr>
          <w:rFonts w:cs="Calibri"/>
          <w:szCs w:val="24"/>
        </w:rPr>
      </w:pPr>
    </w:p>
    <w:p w14:paraId="4721E689" w14:textId="77777777" w:rsidR="00DA2D35" w:rsidRPr="00681E86" w:rsidRDefault="00CE4CCE" w:rsidP="00EA27A3">
      <w:pPr>
        <w:pStyle w:val="Heading1"/>
        <w:spacing w:before="0" w:after="0"/>
      </w:pPr>
      <w:bookmarkStart w:id="73" w:name="_Toc3462007"/>
      <w:r>
        <w:t xml:space="preserve"> </w:t>
      </w:r>
      <w:bookmarkStart w:id="74" w:name="_Toc224126100"/>
      <w:r w:rsidR="00DA2D35" w:rsidRPr="00CE4CCE">
        <w:t>Further</w:t>
      </w:r>
      <w:r w:rsidR="00DA2D35" w:rsidRPr="00681E86">
        <w:t xml:space="preserve"> information</w:t>
      </w:r>
      <w:bookmarkEnd w:id="73"/>
      <w:bookmarkEnd w:id="74"/>
    </w:p>
    <w:bookmarkEnd w:id="53"/>
    <w:bookmarkEnd w:id="54"/>
    <w:p w14:paraId="33108D39" w14:textId="395D821C" w:rsidR="00E840DD" w:rsidRDefault="00E840DD" w:rsidP="0062009B">
      <w:pPr>
        <w:pStyle w:val="Example"/>
        <w:spacing w:before="0" w:after="0"/>
        <w:jc w:val="left"/>
        <w:rPr>
          <w:color w:val="auto"/>
        </w:rPr>
      </w:pPr>
      <w:r w:rsidRPr="0039463D">
        <w:rPr>
          <w:color w:val="auto"/>
        </w:rPr>
        <w:t xml:space="preserve">For more information on the </w:t>
      </w:r>
      <w:r w:rsidR="005655E8">
        <w:rPr>
          <w:color w:val="auto"/>
        </w:rPr>
        <w:t xml:space="preserve">Grants </w:t>
      </w:r>
      <w:r w:rsidRPr="0039463D">
        <w:rPr>
          <w:color w:val="auto"/>
        </w:rPr>
        <w:t xml:space="preserve">Program Guidelines, eligibility requirements or to lodge a complaint, contact </w:t>
      </w:r>
      <w:r w:rsidR="0039463D" w:rsidRPr="0039463D">
        <w:rPr>
          <w:color w:val="auto"/>
        </w:rPr>
        <w:t>Skills Canberra</w:t>
      </w:r>
      <w:r w:rsidR="00422085">
        <w:rPr>
          <w:color w:val="auto"/>
        </w:rPr>
        <w:t>,</w:t>
      </w:r>
      <w:r w:rsidR="0039463D" w:rsidRPr="0039463D">
        <w:rPr>
          <w:color w:val="auto"/>
        </w:rPr>
        <w:t xml:space="preserve"> Grants and Projects</w:t>
      </w:r>
      <w:r w:rsidR="00422085">
        <w:rPr>
          <w:color w:val="auto"/>
        </w:rPr>
        <w:t xml:space="preserve"> </w:t>
      </w:r>
      <w:r w:rsidR="0039463D" w:rsidRPr="0039463D">
        <w:rPr>
          <w:color w:val="auto"/>
        </w:rPr>
        <w:t>on</w:t>
      </w:r>
      <w:r w:rsidRPr="0039463D">
        <w:rPr>
          <w:color w:val="auto"/>
        </w:rPr>
        <w:t>:</w:t>
      </w:r>
      <w:r w:rsidR="00422085">
        <w:rPr>
          <w:color w:val="auto"/>
        </w:rPr>
        <w:t xml:space="preserve"> </w:t>
      </w:r>
      <w:r w:rsidR="0039463D" w:rsidRPr="0039463D">
        <w:rPr>
          <w:color w:val="auto"/>
        </w:rPr>
        <w:t>6205 4006</w:t>
      </w:r>
      <w:r w:rsidR="00422085">
        <w:rPr>
          <w:color w:val="auto"/>
        </w:rPr>
        <w:t xml:space="preserve"> or </w:t>
      </w:r>
      <w:hyperlink r:id="rId32" w:history="1">
        <w:r w:rsidR="00422085" w:rsidRPr="00F0325A">
          <w:rPr>
            <w:rStyle w:val="Hyperlink"/>
          </w:rPr>
          <w:t>skills.projects@act.gov.au</w:t>
        </w:r>
      </w:hyperlink>
      <w:r w:rsidR="00422085">
        <w:rPr>
          <w:color w:val="auto"/>
        </w:rPr>
        <w:t>.</w:t>
      </w:r>
    </w:p>
    <w:p w14:paraId="773AE568" w14:textId="77777777" w:rsidR="00422085" w:rsidRPr="0039463D" w:rsidRDefault="00422085" w:rsidP="0062009B">
      <w:pPr>
        <w:pStyle w:val="Example"/>
        <w:spacing w:before="0" w:after="0"/>
        <w:jc w:val="left"/>
        <w:rPr>
          <w:color w:val="auto"/>
        </w:rPr>
      </w:pPr>
    </w:p>
    <w:p w14:paraId="218C2FE6" w14:textId="38DC35B0" w:rsidR="00632F54" w:rsidRPr="00422085" w:rsidRDefault="00422085" w:rsidP="0062009B">
      <w:pPr>
        <w:pStyle w:val="Example"/>
        <w:spacing w:before="0" w:after="0"/>
        <w:jc w:val="left"/>
        <w:rPr>
          <w:color w:val="auto"/>
        </w:rPr>
      </w:pPr>
      <w:r w:rsidRPr="00422085">
        <w:rPr>
          <w:color w:val="auto"/>
        </w:rPr>
        <w:t xml:space="preserve">For technical assistance with the online application form, contact Business Services: </w:t>
      </w:r>
      <w:hyperlink r:id="rId33" w:history="1">
        <w:r w:rsidRPr="00F0325A">
          <w:rPr>
            <w:rStyle w:val="Hyperlink"/>
          </w:rPr>
          <w:t>economicdevelopmentgrants@act.gov.au</w:t>
        </w:r>
      </w:hyperlink>
      <w:r>
        <w:rPr>
          <w:color w:val="auto"/>
        </w:rPr>
        <w:t>.</w:t>
      </w:r>
    </w:p>
    <w:sectPr w:rsidR="00632F54" w:rsidRPr="00422085" w:rsidSect="00280272">
      <w:headerReference w:type="even" r:id="rId34"/>
      <w:headerReference w:type="default" r:id="rId35"/>
      <w:footerReference w:type="default" r:id="rId36"/>
      <w:headerReference w:type="first" r:id="rId37"/>
      <w:footerReference w:type="first" r:id="rId38"/>
      <w:type w:val="continuous"/>
      <w:pgSz w:w="11906" w:h="16838" w:code="9"/>
      <w:pgMar w:top="1203" w:right="1700" w:bottom="1560" w:left="1418" w:header="567"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49FD" w14:textId="77777777" w:rsidR="009D42E0" w:rsidRDefault="009D42E0" w:rsidP="00665B9F">
      <w:r>
        <w:separator/>
      </w:r>
    </w:p>
    <w:p w14:paraId="10FB53B1" w14:textId="77777777" w:rsidR="009D42E0" w:rsidRDefault="009D42E0"/>
  </w:endnote>
  <w:endnote w:type="continuationSeparator" w:id="0">
    <w:p w14:paraId="1B3ECFAA" w14:textId="77777777" w:rsidR="009D42E0" w:rsidRDefault="009D42E0" w:rsidP="00665B9F">
      <w:r>
        <w:continuationSeparator/>
      </w:r>
    </w:p>
    <w:p w14:paraId="53B164F4" w14:textId="77777777" w:rsidR="009D42E0" w:rsidRDefault="009D4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598" w14:textId="77777777" w:rsidR="00484DBF" w:rsidRDefault="00484DBF" w:rsidP="00395A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2AB090" w14:textId="77777777" w:rsidR="00484DBF" w:rsidRDefault="00484DBF" w:rsidP="00395A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67C6A899" w14:textId="77777777" w:rsidR="00484DBF" w:rsidRPr="00A50ACF" w:rsidRDefault="00484DBF" w:rsidP="00395AF8">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4B3EE320" w14:textId="77777777" w:rsidR="00484DBF" w:rsidRPr="005561B3" w:rsidRDefault="00484DBF" w:rsidP="00395AF8">
    <w:pPr>
      <w:pStyle w:val="Footer"/>
      <w:rPr>
        <w:b/>
      </w:rPr>
    </w:pPr>
    <w:r>
      <w:rPr>
        <w:noProof/>
      </w:rPr>
      <w:drawing>
        <wp:anchor distT="0" distB="0" distL="114300" distR="114300" simplePos="0" relativeHeight="251658752" behindDoc="1" locked="0" layoutInCell="1" allowOverlap="1" wp14:anchorId="0268DB89" wp14:editId="0BBABFAF">
          <wp:simplePos x="0" y="0"/>
          <wp:positionH relativeFrom="column">
            <wp:posOffset>-453390</wp:posOffset>
          </wp:positionH>
          <wp:positionV relativeFrom="paragraph">
            <wp:posOffset>-60960</wp:posOffset>
          </wp:positionV>
          <wp:extent cx="6883200" cy="252000"/>
          <wp:effectExtent l="0" t="0" r="0" b="0"/>
          <wp:wrapNone/>
          <wp:docPr id="163682992"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Pr>
        <w:noProof/>
      </w:rPr>
      <w:t>Justice and Community Safety Directorate</w:t>
    </w:r>
    <w:r w:rsidRPr="00723F5C">
      <w:rPr>
        <w:noProof/>
      </w:rPr>
      <w:t xml:space="preserve"> </w:t>
    </w:r>
    <w:r>
      <w:rPr>
        <w:noProof/>
      </w:rPr>
      <w:tab/>
    </w:r>
    <w:r>
      <w:rPr>
        <w:noProof/>
      </w:rPr>
      <w:tab/>
    </w:r>
    <w:r>
      <w:rPr>
        <w:noProof/>
      </w:rPr>
      <w:tab/>
      <w:t xml:space="preserve"> </w:t>
    </w:r>
    <w:r>
      <w:rPr>
        <w:noProof/>
      </w:rPr>
      <w:tab/>
    </w:r>
    <w:r>
      <w:rPr>
        <w:noProof/>
      </w:rPr>
      <w:tab/>
    </w:r>
    <w:r>
      <w:rPr>
        <w:noProof/>
      </w:rPr>
      <w:tab/>
    </w:r>
    <w:r>
      <w:rPr>
        <w:noProof/>
      </w:rPr>
      <w:tab/>
    </w:r>
    <w:r w:rsidRPr="005561B3">
      <w:rPr>
        <w:b/>
      </w:rPr>
      <w:t>DOCUMENT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369" w14:textId="6720E6C6" w:rsidR="00E93854" w:rsidRPr="000F7874" w:rsidRDefault="006753A2" w:rsidP="00AC67A6">
    <w:pPr>
      <w:pStyle w:val="Footer"/>
      <w:pBdr>
        <w:top w:val="single" w:sz="4" w:space="1" w:color="auto"/>
      </w:pBdr>
      <w:tabs>
        <w:tab w:val="clear" w:pos="4513"/>
        <w:tab w:val="clear" w:pos="9026"/>
      </w:tabs>
      <w:ind w:left="0" w:right="-2"/>
      <w:rPr>
        <w:rFonts w:cs="Calibri"/>
        <w:sz w:val="18"/>
        <w:szCs w:val="18"/>
      </w:rPr>
    </w:pPr>
    <w:r>
      <w:rPr>
        <w:rFonts w:cs="Calibri"/>
        <w:sz w:val="18"/>
        <w:szCs w:val="18"/>
      </w:rPr>
      <w:t>ACT VET Completions Grants Program</w:t>
    </w:r>
    <w:r w:rsidR="002B08CA">
      <w:rPr>
        <w:rFonts w:cs="Calibri"/>
        <w:sz w:val="18"/>
        <w:szCs w:val="18"/>
      </w:rPr>
      <w:t xml:space="preserve"> </w:t>
    </w:r>
    <w:r w:rsidR="008F25AA">
      <w:rPr>
        <w:rFonts w:cs="Calibri"/>
        <w:sz w:val="18"/>
        <w:szCs w:val="18"/>
      </w:rPr>
      <w:t>2026</w:t>
    </w:r>
    <w:r w:rsidR="002B08CA">
      <w:rPr>
        <w:rFonts w:cs="Calibri"/>
        <w:sz w:val="18"/>
        <w:szCs w:val="18"/>
      </w:rPr>
      <w:t xml:space="preserve">    </w:t>
    </w:r>
    <w:r w:rsidR="002B08CA">
      <w:rPr>
        <w:rFonts w:cs="Calibri"/>
        <w:sz w:val="18"/>
        <w:szCs w:val="18"/>
      </w:rPr>
      <w:tab/>
    </w:r>
    <w:r w:rsidR="002B08CA">
      <w:rPr>
        <w:rFonts w:cs="Calibri"/>
        <w:sz w:val="18"/>
        <w:szCs w:val="18"/>
      </w:rPr>
      <w:tab/>
    </w:r>
    <w:r w:rsidR="00E93854" w:rsidRPr="000F7874">
      <w:rPr>
        <w:rFonts w:cs="Calibri"/>
        <w:sz w:val="18"/>
        <w:szCs w:val="18"/>
      </w:rPr>
      <w:tab/>
    </w:r>
    <w:r w:rsidR="00E93854">
      <w:rPr>
        <w:rFonts w:cs="Calibri"/>
        <w:sz w:val="18"/>
        <w:szCs w:val="18"/>
      </w:rPr>
      <w:tab/>
    </w:r>
    <w:r w:rsidR="00E93854" w:rsidRPr="000F7874">
      <w:rPr>
        <w:rFonts w:cs="Calibri"/>
        <w:sz w:val="18"/>
        <w:szCs w:val="18"/>
      </w:rPr>
      <w:tab/>
    </w:r>
    <w:r w:rsidR="00E93854" w:rsidRPr="000F7874">
      <w:rPr>
        <w:rFonts w:cs="Calibri"/>
        <w:sz w:val="18"/>
        <w:szCs w:val="18"/>
      </w:rPr>
      <w:tab/>
    </w:r>
    <w:r w:rsidR="00E93854" w:rsidRPr="000F7874">
      <w:rPr>
        <w:rFonts w:cs="Calibri"/>
        <w:sz w:val="18"/>
        <w:szCs w:val="18"/>
      </w:rPr>
      <w:tab/>
    </w:r>
    <w:r w:rsidR="00E93854" w:rsidRPr="000F7874">
      <w:rPr>
        <w:rFonts w:cs="Calibri"/>
        <w:sz w:val="18"/>
        <w:szCs w:val="18"/>
      </w:rPr>
      <w:tab/>
    </w:r>
    <w:r w:rsidR="00E93854" w:rsidRPr="000F7874">
      <w:rPr>
        <w:rFonts w:cs="Calibri"/>
        <w:sz w:val="18"/>
        <w:szCs w:val="18"/>
      </w:rPr>
      <w:tab/>
    </w:r>
    <w:r w:rsidR="00E93854" w:rsidRPr="000F7874">
      <w:rPr>
        <w:rFonts w:cs="Calibri"/>
        <w:sz w:val="18"/>
        <w:szCs w:val="18"/>
      </w:rPr>
      <w:tab/>
      <w:t xml:space="preserve">Page </w:t>
    </w:r>
    <w:r w:rsidR="00E93854" w:rsidRPr="000F7874">
      <w:rPr>
        <w:rFonts w:cs="Calibri"/>
        <w:sz w:val="18"/>
        <w:szCs w:val="18"/>
      </w:rPr>
      <w:fldChar w:fldCharType="begin"/>
    </w:r>
    <w:r w:rsidR="00E93854" w:rsidRPr="000F7874">
      <w:rPr>
        <w:rFonts w:cs="Calibri"/>
        <w:sz w:val="18"/>
        <w:szCs w:val="18"/>
      </w:rPr>
      <w:instrText xml:space="preserve"> PAGE  \* Arabic  \* MERGEFORMAT </w:instrText>
    </w:r>
    <w:r w:rsidR="00E93854" w:rsidRPr="000F7874">
      <w:rPr>
        <w:rFonts w:cs="Calibri"/>
        <w:sz w:val="18"/>
        <w:szCs w:val="18"/>
      </w:rPr>
      <w:fldChar w:fldCharType="separate"/>
    </w:r>
    <w:r w:rsidR="00E93854" w:rsidRPr="000F7874">
      <w:rPr>
        <w:rFonts w:cs="Calibri"/>
        <w:noProof/>
        <w:sz w:val="18"/>
        <w:szCs w:val="18"/>
      </w:rPr>
      <w:t>2</w:t>
    </w:r>
    <w:r w:rsidR="00E93854" w:rsidRPr="000F7874">
      <w:rPr>
        <w:rFonts w:cs="Calibri"/>
        <w:sz w:val="18"/>
        <w:szCs w:val="18"/>
      </w:rPr>
      <w:fldChar w:fldCharType="end"/>
    </w:r>
    <w:r w:rsidR="00E93854" w:rsidRPr="000F7874">
      <w:rPr>
        <w:rFonts w:cs="Calibri"/>
        <w:sz w:val="18"/>
        <w:szCs w:val="18"/>
      </w:rPr>
      <w:t xml:space="preserve"> of </w:t>
    </w:r>
    <w:r w:rsidR="00E93854" w:rsidRPr="000F7874">
      <w:rPr>
        <w:rFonts w:cs="Calibri"/>
        <w:sz w:val="18"/>
        <w:szCs w:val="18"/>
      </w:rPr>
      <w:fldChar w:fldCharType="begin"/>
    </w:r>
    <w:r w:rsidR="00E93854" w:rsidRPr="000F7874">
      <w:rPr>
        <w:rFonts w:cs="Calibri"/>
        <w:sz w:val="18"/>
        <w:szCs w:val="18"/>
      </w:rPr>
      <w:instrText xml:space="preserve"> NUMPAGES  \* Arabic  \* MERGEFORMAT </w:instrText>
    </w:r>
    <w:r w:rsidR="00E93854" w:rsidRPr="000F7874">
      <w:rPr>
        <w:rFonts w:cs="Calibri"/>
        <w:sz w:val="18"/>
        <w:szCs w:val="18"/>
      </w:rPr>
      <w:fldChar w:fldCharType="separate"/>
    </w:r>
    <w:r w:rsidR="00E93854" w:rsidRPr="000F7874">
      <w:rPr>
        <w:rFonts w:cs="Calibri"/>
        <w:noProof/>
        <w:sz w:val="18"/>
        <w:szCs w:val="18"/>
      </w:rPr>
      <w:t>2</w:t>
    </w:r>
    <w:r w:rsidR="00E93854" w:rsidRPr="000F7874">
      <w:rPr>
        <w:rFonts w:cs="Calibri"/>
        <w:sz w:val="18"/>
        <w:szCs w:val="18"/>
      </w:rPr>
      <w:fldChar w:fldCharType="end"/>
    </w:r>
  </w:p>
  <w:p w14:paraId="4B117A3D" w14:textId="77777777" w:rsidR="00395AF8" w:rsidRDefault="00395A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402EB5EE" w14:paraId="546FAE86" w14:textId="77777777" w:rsidTr="402EB5EE">
      <w:tc>
        <w:tcPr>
          <w:tcW w:w="2925" w:type="dxa"/>
        </w:tcPr>
        <w:p w14:paraId="43BBBF40" w14:textId="77777777" w:rsidR="402EB5EE" w:rsidRDefault="402EB5EE" w:rsidP="402EB5EE">
          <w:pPr>
            <w:pStyle w:val="Header"/>
            <w:ind w:left="-115"/>
            <w:rPr>
              <w:szCs w:val="24"/>
            </w:rPr>
          </w:pPr>
        </w:p>
      </w:tc>
      <w:tc>
        <w:tcPr>
          <w:tcW w:w="2925" w:type="dxa"/>
        </w:tcPr>
        <w:p w14:paraId="14A4D0F2" w14:textId="77777777" w:rsidR="402EB5EE" w:rsidRDefault="402EB5EE" w:rsidP="402EB5EE">
          <w:pPr>
            <w:pStyle w:val="Header"/>
            <w:jc w:val="center"/>
            <w:rPr>
              <w:szCs w:val="24"/>
            </w:rPr>
          </w:pPr>
        </w:p>
      </w:tc>
      <w:tc>
        <w:tcPr>
          <w:tcW w:w="2925" w:type="dxa"/>
        </w:tcPr>
        <w:p w14:paraId="11F08D76" w14:textId="77777777" w:rsidR="402EB5EE" w:rsidRDefault="402EB5EE" w:rsidP="402EB5EE">
          <w:pPr>
            <w:pStyle w:val="Header"/>
            <w:ind w:right="-115"/>
            <w:jc w:val="right"/>
            <w:rPr>
              <w:szCs w:val="24"/>
            </w:rPr>
          </w:pPr>
        </w:p>
      </w:tc>
    </w:tr>
  </w:tbl>
  <w:p w14:paraId="5B872F88" w14:textId="173AAC7A" w:rsidR="402EB5EE" w:rsidRDefault="402EB5EE" w:rsidP="402EB5E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8CD5" w14:textId="77777777" w:rsidR="009D42E0" w:rsidRDefault="009D42E0" w:rsidP="00665B9F">
      <w:r>
        <w:separator/>
      </w:r>
    </w:p>
    <w:p w14:paraId="1D54A784" w14:textId="77777777" w:rsidR="009D42E0" w:rsidRDefault="009D42E0"/>
  </w:footnote>
  <w:footnote w:type="continuationSeparator" w:id="0">
    <w:p w14:paraId="683038A8" w14:textId="77777777" w:rsidR="009D42E0" w:rsidRDefault="009D42E0" w:rsidP="00665B9F">
      <w:r>
        <w:continuationSeparator/>
      </w:r>
    </w:p>
    <w:p w14:paraId="1CFA72BB" w14:textId="77777777" w:rsidR="009D42E0" w:rsidRDefault="009D4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341B" w14:textId="77777777" w:rsidR="00484DBF" w:rsidRDefault="008C733F">
    <w:pPr>
      <w:pStyle w:val="Header"/>
    </w:pPr>
    <w:r>
      <w:rPr>
        <w:noProof/>
      </w:rPr>
      <w:pict w14:anchorId="6EC9E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left:0;text-align:left;margin-left:0;margin-top:0;width:491.1pt;height:694.55pt;z-index:-251656704;visibility:visible;mso-wrap-edited:f;mso-position-horizontal:center;mso-position-horizontal-relative:margin;mso-position-vertical:center;mso-position-vertical-relative:margin"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EDEA" w14:textId="77777777" w:rsidR="00484DBF" w:rsidRDefault="00484DBF">
    <w:pPr>
      <w:pStyle w:val="Header"/>
    </w:pPr>
    <w:r>
      <w:rPr>
        <w:noProof/>
      </w:rPr>
      <mc:AlternateContent>
        <mc:Choice Requires="wps">
          <w:drawing>
            <wp:anchor distT="0" distB="0" distL="0" distR="0" simplePos="0" relativeHeight="251656704" behindDoc="0" locked="0" layoutInCell="1" allowOverlap="1" wp14:anchorId="165856CC" wp14:editId="56069FBF">
              <wp:simplePos x="635" y="635"/>
              <wp:positionH relativeFrom="page">
                <wp:align>center</wp:align>
              </wp:positionH>
              <wp:positionV relativeFrom="page">
                <wp:align>top</wp:align>
              </wp:positionV>
              <wp:extent cx="443865" cy="443865"/>
              <wp:effectExtent l="0" t="0" r="127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B9B8B"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856CC"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6EB9B8B"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v:textbox>
              <w10:wrap anchorx="page" anchory="page"/>
            </v:shape>
          </w:pict>
        </mc:Fallback>
      </mc:AlternateContent>
    </w:r>
  </w:p>
  <w:p w14:paraId="49DE0E09" w14:textId="77777777" w:rsidR="00395AF8" w:rsidRDefault="00395A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E840" w14:textId="77777777" w:rsidR="00E93854" w:rsidRPr="006046FF" w:rsidRDefault="00484DBF" w:rsidP="00FE4DD6">
    <w:pPr>
      <w:pStyle w:val="Intro"/>
      <w:tabs>
        <w:tab w:val="left" w:pos="1740"/>
      </w:tabs>
      <w:rPr>
        <w:b/>
        <w:caps/>
        <w:color w:val="000000" w:themeColor="text1"/>
      </w:rPr>
    </w:pPr>
    <w:r>
      <w:rPr>
        <w:b/>
        <w:caps/>
        <w:noProof/>
        <w:color w:val="000000" w:themeColor="text1"/>
        <w:w w:val="100"/>
      </w:rPr>
      <mc:AlternateContent>
        <mc:Choice Requires="wps">
          <w:drawing>
            <wp:anchor distT="0" distB="0" distL="0" distR="0" simplePos="0" relativeHeight="251657728" behindDoc="0" locked="0" layoutInCell="1" allowOverlap="1" wp14:anchorId="572B5690" wp14:editId="34A4B153">
              <wp:simplePos x="0" y="0"/>
              <wp:positionH relativeFrom="page">
                <wp:align>center</wp:align>
              </wp:positionH>
              <wp:positionV relativeFrom="page">
                <wp:align>top</wp:align>
              </wp:positionV>
              <wp:extent cx="443865" cy="443865"/>
              <wp:effectExtent l="0" t="0" r="1270"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2EFB5"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B5690" id="_x0000_t202" coordsize="21600,21600" o:spt="202" path="m,l,21600r21600,l21600,xe">
              <v:stroke joinstyle="miter"/>
              <v:path gradientshapeok="t" o:connecttype="rect"/>
            </v:shapetype>
            <v:shape id="Text Box 4" o:spid="_x0000_s1029"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42EFB5"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v:textbox>
              <w10:wrap anchorx="page" anchory="page"/>
            </v:shape>
          </w:pict>
        </mc:Fallback>
      </mc:AlternateContent>
    </w:r>
  </w:p>
  <w:p w14:paraId="4130DC4E" w14:textId="40F78BBA" w:rsidR="00395AF8" w:rsidRDefault="0060395E" w:rsidP="0060395E">
    <w:pPr>
      <w:tabs>
        <w:tab w:val="left" w:pos="243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C091" w14:textId="77777777" w:rsidR="00E93854" w:rsidRDefault="00484DBF">
    <w:pPr>
      <w:pStyle w:val="Header"/>
    </w:pPr>
    <w:r>
      <w:rPr>
        <w:noProof/>
      </w:rPr>
      <mc:AlternateContent>
        <mc:Choice Requires="wps">
          <w:drawing>
            <wp:anchor distT="0" distB="0" distL="0" distR="0" simplePos="0" relativeHeight="251655680" behindDoc="0" locked="0" layoutInCell="1" allowOverlap="1" wp14:anchorId="2D337CEB" wp14:editId="2B4C0CF4">
              <wp:simplePos x="0" y="0"/>
              <wp:positionH relativeFrom="page">
                <wp:align>center</wp:align>
              </wp:positionH>
              <wp:positionV relativeFrom="page">
                <wp:align>top</wp:align>
              </wp:positionV>
              <wp:extent cx="443865" cy="443865"/>
              <wp:effectExtent l="0" t="0" r="127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CC037"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37CEB"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2DCC037" w14:textId="77777777" w:rsidR="00484DBF" w:rsidRPr="00484DBF" w:rsidRDefault="00484DBF" w:rsidP="00484DBF">
                    <w:pPr>
                      <w:spacing w:after="0"/>
                      <w:rPr>
                        <w:rFonts w:eastAsia="Calibri" w:cs="Calibri"/>
                        <w:noProof/>
                        <w:color w:val="FF0000"/>
                        <w:sz w:val="24"/>
                        <w:szCs w:val="24"/>
                      </w:rPr>
                    </w:pPr>
                    <w:r w:rsidRPr="00484DBF">
                      <w:rPr>
                        <w:rFonts w:eastAsia="Calibri" w:cs="Calibri"/>
                        <w:noProof/>
                        <w:color w:val="FF0000"/>
                        <w:sz w:val="24"/>
                        <w:szCs w:val="24"/>
                      </w:rPr>
                      <w:t>OFFICIAL</w:t>
                    </w:r>
                  </w:p>
                </w:txbxContent>
              </v:textbox>
              <w10:wrap anchorx="page" anchory="page"/>
            </v:shape>
          </w:pict>
        </mc:Fallback>
      </mc:AlternateContent>
    </w:r>
    <w:r w:rsidR="00E938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4171E"/>
    <w:multiLevelType w:val="hybridMultilevel"/>
    <w:tmpl w:val="B56C95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F6C678D"/>
    <w:multiLevelType w:val="multilevel"/>
    <w:tmpl w:val="E4A2BE86"/>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00AEEF" w:themeColor="text2"/>
      </w:rPr>
    </w:lvl>
    <w:lvl w:ilvl="2">
      <w:start w:val="1"/>
      <w:numFmt w:val="bullet"/>
      <w:lvlText w:val="»"/>
      <w:lvlJc w:val="left"/>
      <w:pPr>
        <w:ind w:left="852" w:hanging="284"/>
      </w:pPr>
      <w:rPr>
        <w:rFonts w:ascii="Arial" w:hAnsi="Arial" w:hint="default"/>
        <w:color w:val="00AEEF"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5B86E34"/>
    <w:multiLevelType w:val="hybridMultilevel"/>
    <w:tmpl w:val="1F901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B5ADF"/>
    <w:multiLevelType w:val="hybridMultilevel"/>
    <w:tmpl w:val="B56C95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76D55ED"/>
    <w:multiLevelType w:val="hybridMultilevel"/>
    <w:tmpl w:val="1EFC12D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6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AC5CF9"/>
    <w:multiLevelType w:val="hybridMultilevel"/>
    <w:tmpl w:val="3FD663F6"/>
    <w:lvl w:ilvl="0" w:tplc="FFFFFFFF">
      <w:start w:val="1"/>
      <w:numFmt w:val="decimal"/>
      <w:lvlText w:val="%1."/>
      <w:lvlJc w:val="left"/>
      <w:pPr>
        <w:ind w:left="1069" w:hanging="360"/>
      </w:pPr>
      <w:rPr>
        <w:rFonts w:hint="default"/>
        <w:color w:val="auto"/>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652809"/>
    <w:multiLevelType w:val="hybridMultilevel"/>
    <w:tmpl w:val="B56C95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BB8627C"/>
    <w:multiLevelType w:val="multilevel"/>
    <w:tmpl w:val="DE0C31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3143694"/>
    <w:multiLevelType w:val="hybridMultilevel"/>
    <w:tmpl w:val="B56C95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409D79BB"/>
    <w:multiLevelType w:val="multilevel"/>
    <w:tmpl w:val="341A4B9E"/>
    <w:styleLink w:val="CurrentList2"/>
    <w:lvl w:ilvl="0">
      <w:start w:val="1"/>
      <w:numFmt w:val="bullet"/>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2" w15:restartNumberingAfterBreak="0">
    <w:nsid w:val="432410EF"/>
    <w:multiLevelType w:val="hybridMultilevel"/>
    <w:tmpl w:val="C8A60C38"/>
    <w:lvl w:ilvl="0" w:tplc="D8FCF0E2">
      <w:start w:val="1"/>
      <w:numFmt w:val="bullet"/>
      <w:pStyle w:val="Bullet3"/>
      <w:lvlText w:val=""/>
      <w:lvlJc w:val="left"/>
      <w:pPr>
        <w:ind w:left="2770" w:hanging="360"/>
      </w:pPr>
      <w:rPr>
        <w:rFonts w:ascii="Symbol" w:hAnsi="Symbol" w:hint="default"/>
        <w:sz w:val="24"/>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459B1053"/>
    <w:multiLevelType w:val="hybridMultilevel"/>
    <w:tmpl w:val="09D695EC"/>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4" w15:restartNumberingAfterBreak="0">
    <w:nsid w:val="465F7055"/>
    <w:multiLevelType w:val="multilevel"/>
    <w:tmpl w:val="DE0C3134"/>
    <w:styleLink w:val="CurrentList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7676DDC"/>
    <w:multiLevelType w:val="hybridMultilevel"/>
    <w:tmpl w:val="D7960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9D5A10"/>
    <w:multiLevelType w:val="singleLevel"/>
    <w:tmpl w:val="0C09000F"/>
    <w:lvl w:ilvl="0">
      <w:start w:val="1"/>
      <w:numFmt w:val="decimal"/>
      <w:lvlText w:val="%1."/>
      <w:lvlJc w:val="left"/>
      <w:pPr>
        <w:ind w:left="720" w:hanging="360"/>
      </w:pPr>
      <w:rPr>
        <w:rFonts w:hint="default"/>
      </w:rPr>
    </w:lvl>
  </w:abstractNum>
  <w:abstractNum w:abstractNumId="17"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712792"/>
    <w:multiLevelType w:val="multilevel"/>
    <w:tmpl w:val="4418D248"/>
    <w:lvl w:ilvl="0">
      <w:start w:val="1"/>
      <w:numFmt w:val="decimal"/>
      <w:lvlText w:val="%1."/>
      <w:lvlJc w:val="left"/>
      <w:pPr>
        <w:ind w:left="720" w:hanging="360"/>
      </w:pPr>
      <w:rPr>
        <w:rFonts w:cs="Times New Roman" w:hint="default"/>
        <w:sz w:val="36"/>
        <w:szCs w:val="36"/>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8F771F"/>
    <w:multiLevelType w:val="multilevel"/>
    <w:tmpl w:val="8CC60FD8"/>
    <w:lvl w:ilvl="0">
      <w:start w:val="1"/>
      <w:numFmt w:val="bullet"/>
      <w:pStyle w:val="Bullet2"/>
      <w:lvlText w:val=""/>
      <w:lvlJc w:val="left"/>
      <w:pPr>
        <w:ind w:left="1352" w:hanging="360"/>
      </w:pPr>
      <w:rPr>
        <w:rFonts w:ascii="Symbol" w:hAnsi="Symbol" w:hint="default"/>
        <w:sz w:val="24"/>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1" w15:restartNumberingAfterBreak="0">
    <w:nsid w:val="56E549AB"/>
    <w:multiLevelType w:val="hybridMultilevel"/>
    <w:tmpl w:val="C8304D64"/>
    <w:lvl w:ilvl="0" w:tplc="CE24D2E2">
      <w:start w:val="1"/>
      <w:numFmt w:val="decimal"/>
      <w:lvlText w:val="9.%1"/>
      <w:lvlJc w:val="left"/>
      <w:pPr>
        <w:ind w:left="360"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59AF5C32"/>
    <w:multiLevelType w:val="hybridMultilevel"/>
    <w:tmpl w:val="86D4D2D6"/>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3" w15:restartNumberingAfterBreak="0">
    <w:nsid w:val="661929AD"/>
    <w:multiLevelType w:val="multilevel"/>
    <w:tmpl w:val="B406CF4C"/>
    <w:lvl w:ilvl="0">
      <w:start w:val="1"/>
      <w:numFmt w:val="decimal"/>
      <w:pStyle w:val="Heading1a"/>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79D420E"/>
    <w:multiLevelType w:val="hybridMultilevel"/>
    <w:tmpl w:val="2326AF0A"/>
    <w:lvl w:ilvl="0" w:tplc="6164D3D6">
      <w:start w:val="1"/>
      <w:numFmt w:val="bullet"/>
      <w:pStyle w:val="Bullet1"/>
      <w:lvlText w:val=""/>
      <w:lvlJc w:val="left"/>
      <w:pPr>
        <w:ind w:left="1069" w:hanging="360"/>
      </w:pPr>
      <w:rPr>
        <w:rFonts w:ascii="Symbol" w:hAnsi="Symbol" w:hint="default"/>
        <w:color w:val="auto"/>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A8034E"/>
    <w:multiLevelType w:val="hybridMultilevel"/>
    <w:tmpl w:val="CEB486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23C432F"/>
    <w:multiLevelType w:val="hybridMultilevel"/>
    <w:tmpl w:val="B56C95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737E6EAE"/>
    <w:multiLevelType w:val="hybridMultilevel"/>
    <w:tmpl w:val="3FD663F6"/>
    <w:lvl w:ilvl="0" w:tplc="0C09000F">
      <w:start w:val="1"/>
      <w:numFmt w:val="decimal"/>
      <w:lvlText w:val="%1."/>
      <w:lvlJc w:val="left"/>
      <w:pPr>
        <w:ind w:left="1069" w:hanging="360"/>
      </w:pPr>
      <w:rPr>
        <w:rFonts w:hint="default"/>
        <w:color w:val="auto"/>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936968"/>
    <w:multiLevelType w:val="hybridMultilevel"/>
    <w:tmpl w:val="26BE9AE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15:restartNumberingAfterBreak="0">
    <w:nsid w:val="75B43C65"/>
    <w:multiLevelType w:val="hybridMultilevel"/>
    <w:tmpl w:val="B56C9592"/>
    <w:lvl w:ilvl="0" w:tplc="6AF6D52C">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15:restartNumberingAfterBreak="0">
    <w:nsid w:val="77901221"/>
    <w:multiLevelType w:val="multilevel"/>
    <w:tmpl w:val="DE0C3134"/>
    <w:styleLink w:val="CurrentList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BD61505"/>
    <w:multiLevelType w:val="multilevel"/>
    <w:tmpl w:val="695EDD6C"/>
    <w:styleLink w:val="CurrentList1"/>
    <w:lvl w:ilvl="0">
      <w:start w:val="1"/>
      <w:numFmt w:val="bullet"/>
      <w:lvlText w:val=""/>
      <w:lvlJc w:val="left"/>
      <w:pPr>
        <w:ind w:left="36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D9C1199"/>
    <w:multiLevelType w:val="multilevel"/>
    <w:tmpl w:val="70480A82"/>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673602858">
    <w:abstractNumId w:val="24"/>
  </w:num>
  <w:num w:numId="2" w16cid:durableId="1314020284">
    <w:abstractNumId w:val="20"/>
  </w:num>
  <w:num w:numId="3" w16cid:durableId="1663269344">
    <w:abstractNumId w:val="8"/>
  </w:num>
  <w:num w:numId="4" w16cid:durableId="846793288">
    <w:abstractNumId w:val="19"/>
  </w:num>
  <w:num w:numId="5" w16cid:durableId="679233374">
    <w:abstractNumId w:val="0"/>
  </w:num>
  <w:num w:numId="6" w16cid:durableId="49621258">
    <w:abstractNumId w:val="16"/>
  </w:num>
  <w:num w:numId="7" w16cid:durableId="2118406297">
    <w:abstractNumId w:val="21"/>
  </w:num>
  <w:num w:numId="8" w16cid:durableId="250555023">
    <w:abstractNumId w:val="23"/>
  </w:num>
  <w:num w:numId="9" w16cid:durableId="1798068193">
    <w:abstractNumId w:val="18"/>
  </w:num>
  <w:num w:numId="10" w16cid:durableId="2139178605">
    <w:abstractNumId w:val="3"/>
  </w:num>
  <w:num w:numId="11" w16cid:durableId="1532914318">
    <w:abstractNumId w:val="21"/>
    <w:lvlOverride w:ilvl="0">
      <w:startOverride w:val="1"/>
    </w:lvlOverride>
  </w:num>
  <w:num w:numId="12" w16cid:durableId="49696647">
    <w:abstractNumId w:val="9"/>
  </w:num>
  <w:num w:numId="13" w16cid:durableId="103694017">
    <w:abstractNumId w:val="31"/>
  </w:num>
  <w:num w:numId="14" w16cid:durableId="1595090660">
    <w:abstractNumId w:val="11"/>
  </w:num>
  <w:num w:numId="15" w16cid:durableId="1530216725">
    <w:abstractNumId w:val="32"/>
  </w:num>
  <w:num w:numId="16" w16cid:durableId="2005426588">
    <w:abstractNumId w:val="2"/>
  </w:num>
  <w:num w:numId="17" w16cid:durableId="1651784198">
    <w:abstractNumId w:val="12"/>
  </w:num>
  <w:num w:numId="18" w16cid:durableId="1003973766">
    <w:abstractNumId w:val="14"/>
  </w:num>
  <w:num w:numId="19" w16cid:durableId="1109734722">
    <w:abstractNumId w:val="30"/>
  </w:num>
  <w:num w:numId="20" w16cid:durableId="955217246">
    <w:abstractNumId w:val="17"/>
  </w:num>
  <w:num w:numId="21" w16cid:durableId="1931699875">
    <w:abstractNumId w:val="29"/>
  </w:num>
  <w:num w:numId="22" w16cid:durableId="84419873">
    <w:abstractNumId w:val="10"/>
  </w:num>
  <w:num w:numId="23" w16cid:durableId="472063552">
    <w:abstractNumId w:val="1"/>
  </w:num>
  <w:num w:numId="24" w16cid:durableId="346181046">
    <w:abstractNumId w:val="26"/>
  </w:num>
  <w:num w:numId="25" w16cid:durableId="1235506839">
    <w:abstractNumId w:val="27"/>
  </w:num>
  <w:num w:numId="26" w16cid:durableId="1965191465">
    <w:abstractNumId w:val="25"/>
  </w:num>
  <w:num w:numId="27" w16cid:durableId="423887460">
    <w:abstractNumId w:val="22"/>
  </w:num>
  <w:num w:numId="28" w16cid:durableId="487402838">
    <w:abstractNumId w:val="28"/>
  </w:num>
  <w:num w:numId="29" w16cid:durableId="143544011">
    <w:abstractNumId w:val="6"/>
  </w:num>
  <w:num w:numId="30" w16cid:durableId="466631209">
    <w:abstractNumId w:val="24"/>
  </w:num>
  <w:num w:numId="31" w16cid:durableId="55589394">
    <w:abstractNumId w:val="9"/>
  </w:num>
  <w:num w:numId="32" w16cid:durableId="91705265">
    <w:abstractNumId w:val="9"/>
  </w:num>
  <w:num w:numId="33" w16cid:durableId="640427332">
    <w:abstractNumId w:val="9"/>
  </w:num>
  <w:num w:numId="34" w16cid:durableId="928543473">
    <w:abstractNumId w:val="15"/>
  </w:num>
  <w:num w:numId="35" w16cid:durableId="1061750937">
    <w:abstractNumId w:val="5"/>
  </w:num>
  <w:num w:numId="36" w16cid:durableId="272128237">
    <w:abstractNumId w:val="13"/>
  </w:num>
  <w:num w:numId="37" w16cid:durableId="1803572630">
    <w:abstractNumId w:val="24"/>
  </w:num>
  <w:num w:numId="38" w16cid:durableId="1667171422">
    <w:abstractNumId w:val="24"/>
  </w:num>
  <w:num w:numId="39" w16cid:durableId="1821384530">
    <w:abstractNumId w:val="9"/>
  </w:num>
  <w:num w:numId="40" w16cid:durableId="1892695560">
    <w:abstractNumId w:val="4"/>
  </w:num>
  <w:num w:numId="41" w16cid:durableId="722826900">
    <w:abstractNumId w:val="7"/>
  </w:num>
  <w:num w:numId="42" w16cid:durableId="8144182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5E"/>
    <w:rsid w:val="000016B9"/>
    <w:rsid w:val="00002687"/>
    <w:rsid w:val="000042EA"/>
    <w:rsid w:val="00004E99"/>
    <w:rsid w:val="000068D5"/>
    <w:rsid w:val="0001342B"/>
    <w:rsid w:val="0001410F"/>
    <w:rsid w:val="000205A2"/>
    <w:rsid w:val="0002242F"/>
    <w:rsid w:val="00030790"/>
    <w:rsid w:val="00030CC1"/>
    <w:rsid w:val="00034546"/>
    <w:rsid w:val="00036B92"/>
    <w:rsid w:val="00040235"/>
    <w:rsid w:val="0004129F"/>
    <w:rsid w:val="000419C1"/>
    <w:rsid w:val="00042496"/>
    <w:rsid w:val="00043B50"/>
    <w:rsid w:val="000446A5"/>
    <w:rsid w:val="00045ED8"/>
    <w:rsid w:val="0005196D"/>
    <w:rsid w:val="000527C7"/>
    <w:rsid w:val="000535C8"/>
    <w:rsid w:val="00055C71"/>
    <w:rsid w:val="0005613F"/>
    <w:rsid w:val="000624B8"/>
    <w:rsid w:val="000635FA"/>
    <w:rsid w:val="000650AF"/>
    <w:rsid w:val="00065CEA"/>
    <w:rsid w:val="00070067"/>
    <w:rsid w:val="000744D4"/>
    <w:rsid w:val="0007453E"/>
    <w:rsid w:val="00076803"/>
    <w:rsid w:val="00076A2B"/>
    <w:rsid w:val="000861AE"/>
    <w:rsid w:val="00090A83"/>
    <w:rsid w:val="00092EB3"/>
    <w:rsid w:val="000974EE"/>
    <w:rsid w:val="000A2FFC"/>
    <w:rsid w:val="000A461D"/>
    <w:rsid w:val="000A6B63"/>
    <w:rsid w:val="000B13CB"/>
    <w:rsid w:val="000B3A89"/>
    <w:rsid w:val="000C3F1E"/>
    <w:rsid w:val="000C542F"/>
    <w:rsid w:val="000C6C34"/>
    <w:rsid w:val="000D009B"/>
    <w:rsid w:val="000D316A"/>
    <w:rsid w:val="000D54CC"/>
    <w:rsid w:val="000E33D5"/>
    <w:rsid w:val="000F07A8"/>
    <w:rsid w:val="000F270B"/>
    <w:rsid w:val="000F4FDE"/>
    <w:rsid w:val="000F5798"/>
    <w:rsid w:val="000F5CCD"/>
    <w:rsid w:val="000F5D86"/>
    <w:rsid w:val="000F653A"/>
    <w:rsid w:val="000F7874"/>
    <w:rsid w:val="00102A80"/>
    <w:rsid w:val="00104034"/>
    <w:rsid w:val="00105359"/>
    <w:rsid w:val="00105E10"/>
    <w:rsid w:val="00106ACB"/>
    <w:rsid w:val="001133A8"/>
    <w:rsid w:val="001177D7"/>
    <w:rsid w:val="0011798B"/>
    <w:rsid w:val="001211F6"/>
    <w:rsid w:val="001233C3"/>
    <w:rsid w:val="00131720"/>
    <w:rsid w:val="00133DB3"/>
    <w:rsid w:val="00136B43"/>
    <w:rsid w:val="00137F36"/>
    <w:rsid w:val="0014049B"/>
    <w:rsid w:val="0014214E"/>
    <w:rsid w:val="0015010B"/>
    <w:rsid w:val="00152EB7"/>
    <w:rsid w:val="00154056"/>
    <w:rsid w:val="00156F77"/>
    <w:rsid w:val="0016080C"/>
    <w:rsid w:val="001608F9"/>
    <w:rsid w:val="001623DE"/>
    <w:rsid w:val="00164541"/>
    <w:rsid w:val="001672D4"/>
    <w:rsid w:val="0016773E"/>
    <w:rsid w:val="001773AE"/>
    <w:rsid w:val="00180B60"/>
    <w:rsid w:val="0018584D"/>
    <w:rsid w:val="00187602"/>
    <w:rsid w:val="00187A9D"/>
    <w:rsid w:val="00187DEE"/>
    <w:rsid w:val="00187E50"/>
    <w:rsid w:val="001912A2"/>
    <w:rsid w:val="001955DE"/>
    <w:rsid w:val="001966FA"/>
    <w:rsid w:val="00197666"/>
    <w:rsid w:val="001A0139"/>
    <w:rsid w:val="001A0956"/>
    <w:rsid w:val="001A446D"/>
    <w:rsid w:val="001A565C"/>
    <w:rsid w:val="001A5B54"/>
    <w:rsid w:val="001B50EF"/>
    <w:rsid w:val="001C1FF2"/>
    <w:rsid w:val="001D7930"/>
    <w:rsid w:val="001E06AE"/>
    <w:rsid w:val="001E54D8"/>
    <w:rsid w:val="001E65FA"/>
    <w:rsid w:val="001E7690"/>
    <w:rsid w:val="001E76BA"/>
    <w:rsid w:val="001F29DF"/>
    <w:rsid w:val="001F639D"/>
    <w:rsid w:val="002009BA"/>
    <w:rsid w:val="00200DE8"/>
    <w:rsid w:val="00201E8F"/>
    <w:rsid w:val="002024C8"/>
    <w:rsid w:val="00203525"/>
    <w:rsid w:val="00214A8E"/>
    <w:rsid w:val="00214E91"/>
    <w:rsid w:val="00215465"/>
    <w:rsid w:val="00220A8E"/>
    <w:rsid w:val="00221307"/>
    <w:rsid w:val="00222930"/>
    <w:rsid w:val="002236A5"/>
    <w:rsid w:val="00225BFC"/>
    <w:rsid w:val="00237937"/>
    <w:rsid w:val="002401B9"/>
    <w:rsid w:val="002404B5"/>
    <w:rsid w:val="00241FC6"/>
    <w:rsid w:val="00242B7D"/>
    <w:rsid w:val="0024524E"/>
    <w:rsid w:val="0024529F"/>
    <w:rsid w:val="00246AAC"/>
    <w:rsid w:val="002479CE"/>
    <w:rsid w:val="00255A66"/>
    <w:rsid w:val="00261E01"/>
    <w:rsid w:val="00262A8E"/>
    <w:rsid w:val="00275BBD"/>
    <w:rsid w:val="00280272"/>
    <w:rsid w:val="00281D96"/>
    <w:rsid w:val="002846D8"/>
    <w:rsid w:val="00287C14"/>
    <w:rsid w:val="00290358"/>
    <w:rsid w:val="0029248D"/>
    <w:rsid w:val="00292DE6"/>
    <w:rsid w:val="0029668D"/>
    <w:rsid w:val="002A0832"/>
    <w:rsid w:val="002A093C"/>
    <w:rsid w:val="002A45FA"/>
    <w:rsid w:val="002A5458"/>
    <w:rsid w:val="002A62AF"/>
    <w:rsid w:val="002B072B"/>
    <w:rsid w:val="002B08CA"/>
    <w:rsid w:val="002B4A74"/>
    <w:rsid w:val="002C0A4A"/>
    <w:rsid w:val="002C0DE1"/>
    <w:rsid w:val="002C26C3"/>
    <w:rsid w:val="002C2EB5"/>
    <w:rsid w:val="002C6B74"/>
    <w:rsid w:val="002D33BC"/>
    <w:rsid w:val="002D6623"/>
    <w:rsid w:val="002E13C7"/>
    <w:rsid w:val="002E7655"/>
    <w:rsid w:val="002F2EE5"/>
    <w:rsid w:val="002F3300"/>
    <w:rsid w:val="002F3E7F"/>
    <w:rsid w:val="002F6C6C"/>
    <w:rsid w:val="003010B0"/>
    <w:rsid w:val="00304693"/>
    <w:rsid w:val="00310E62"/>
    <w:rsid w:val="00312738"/>
    <w:rsid w:val="00313371"/>
    <w:rsid w:val="00314E98"/>
    <w:rsid w:val="00315766"/>
    <w:rsid w:val="00317BB5"/>
    <w:rsid w:val="00320E63"/>
    <w:rsid w:val="00320EF0"/>
    <w:rsid w:val="003238CE"/>
    <w:rsid w:val="003343E9"/>
    <w:rsid w:val="00334D1F"/>
    <w:rsid w:val="003369D6"/>
    <w:rsid w:val="00336CFA"/>
    <w:rsid w:val="00342F85"/>
    <w:rsid w:val="003439ED"/>
    <w:rsid w:val="00343E8D"/>
    <w:rsid w:val="00354F6D"/>
    <w:rsid w:val="003600F0"/>
    <w:rsid w:val="00360E9E"/>
    <w:rsid w:val="00361561"/>
    <w:rsid w:val="00361EEF"/>
    <w:rsid w:val="00361F78"/>
    <w:rsid w:val="00361F82"/>
    <w:rsid w:val="00362B40"/>
    <w:rsid w:val="003633F5"/>
    <w:rsid w:val="00365E98"/>
    <w:rsid w:val="003707FE"/>
    <w:rsid w:val="00370B17"/>
    <w:rsid w:val="00372B31"/>
    <w:rsid w:val="003750D6"/>
    <w:rsid w:val="00376A58"/>
    <w:rsid w:val="00383728"/>
    <w:rsid w:val="00392964"/>
    <w:rsid w:val="00393FDB"/>
    <w:rsid w:val="0039463D"/>
    <w:rsid w:val="0039563B"/>
    <w:rsid w:val="00395AF8"/>
    <w:rsid w:val="00395E72"/>
    <w:rsid w:val="003971EF"/>
    <w:rsid w:val="003A02B7"/>
    <w:rsid w:val="003A1F06"/>
    <w:rsid w:val="003A4BF9"/>
    <w:rsid w:val="003A641C"/>
    <w:rsid w:val="003A7564"/>
    <w:rsid w:val="003B13F4"/>
    <w:rsid w:val="003B15C2"/>
    <w:rsid w:val="003B4905"/>
    <w:rsid w:val="003C7456"/>
    <w:rsid w:val="003D4D8F"/>
    <w:rsid w:val="003D4DBC"/>
    <w:rsid w:val="003D519A"/>
    <w:rsid w:val="003E35E1"/>
    <w:rsid w:val="003E525B"/>
    <w:rsid w:val="003E5CEC"/>
    <w:rsid w:val="0040156A"/>
    <w:rsid w:val="00406126"/>
    <w:rsid w:val="00411A3D"/>
    <w:rsid w:val="00411C5B"/>
    <w:rsid w:val="00416882"/>
    <w:rsid w:val="00422085"/>
    <w:rsid w:val="00433616"/>
    <w:rsid w:val="00442966"/>
    <w:rsid w:val="004439BD"/>
    <w:rsid w:val="00445A42"/>
    <w:rsid w:val="004470C9"/>
    <w:rsid w:val="004502A1"/>
    <w:rsid w:val="00452B15"/>
    <w:rsid w:val="004532AE"/>
    <w:rsid w:val="004563B4"/>
    <w:rsid w:val="00461A94"/>
    <w:rsid w:val="00462EA4"/>
    <w:rsid w:val="00463711"/>
    <w:rsid w:val="00466FFE"/>
    <w:rsid w:val="004728F3"/>
    <w:rsid w:val="00481038"/>
    <w:rsid w:val="00481CE3"/>
    <w:rsid w:val="0048297C"/>
    <w:rsid w:val="00482E0B"/>
    <w:rsid w:val="00483F80"/>
    <w:rsid w:val="00484B5C"/>
    <w:rsid w:val="00484DBF"/>
    <w:rsid w:val="004861A2"/>
    <w:rsid w:val="00492FDC"/>
    <w:rsid w:val="00494189"/>
    <w:rsid w:val="00496C0F"/>
    <w:rsid w:val="00496CD4"/>
    <w:rsid w:val="004A3DE4"/>
    <w:rsid w:val="004A571D"/>
    <w:rsid w:val="004B1C73"/>
    <w:rsid w:val="004B4981"/>
    <w:rsid w:val="004C10AE"/>
    <w:rsid w:val="004C1925"/>
    <w:rsid w:val="004C39AB"/>
    <w:rsid w:val="004C6D3D"/>
    <w:rsid w:val="004E0ABC"/>
    <w:rsid w:val="004E1F16"/>
    <w:rsid w:val="004E69B5"/>
    <w:rsid w:val="004E69D5"/>
    <w:rsid w:val="004E69EF"/>
    <w:rsid w:val="004F131E"/>
    <w:rsid w:val="004F1A40"/>
    <w:rsid w:val="004F2322"/>
    <w:rsid w:val="004F3D98"/>
    <w:rsid w:val="004F4135"/>
    <w:rsid w:val="004F463D"/>
    <w:rsid w:val="004F5B70"/>
    <w:rsid w:val="004F74DA"/>
    <w:rsid w:val="004F7A95"/>
    <w:rsid w:val="004F7AE9"/>
    <w:rsid w:val="005010D3"/>
    <w:rsid w:val="005014D9"/>
    <w:rsid w:val="00503E7E"/>
    <w:rsid w:val="005044F6"/>
    <w:rsid w:val="005115E8"/>
    <w:rsid w:val="00512E77"/>
    <w:rsid w:val="005137A9"/>
    <w:rsid w:val="00520A04"/>
    <w:rsid w:val="00522475"/>
    <w:rsid w:val="00524010"/>
    <w:rsid w:val="00524C9A"/>
    <w:rsid w:val="00526623"/>
    <w:rsid w:val="00527639"/>
    <w:rsid w:val="005325DC"/>
    <w:rsid w:val="00533CBB"/>
    <w:rsid w:val="0053763A"/>
    <w:rsid w:val="005406A4"/>
    <w:rsid w:val="00547668"/>
    <w:rsid w:val="00550042"/>
    <w:rsid w:val="00556BA5"/>
    <w:rsid w:val="0056006A"/>
    <w:rsid w:val="005638F1"/>
    <w:rsid w:val="005654E8"/>
    <w:rsid w:val="005655E8"/>
    <w:rsid w:val="00567213"/>
    <w:rsid w:val="0057123D"/>
    <w:rsid w:val="00572022"/>
    <w:rsid w:val="005736BF"/>
    <w:rsid w:val="00576CCD"/>
    <w:rsid w:val="00576D35"/>
    <w:rsid w:val="00577AA3"/>
    <w:rsid w:val="005835C6"/>
    <w:rsid w:val="00583755"/>
    <w:rsid w:val="0058377A"/>
    <w:rsid w:val="00586AC8"/>
    <w:rsid w:val="005912BE"/>
    <w:rsid w:val="00594EA4"/>
    <w:rsid w:val="0059513A"/>
    <w:rsid w:val="0059599A"/>
    <w:rsid w:val="00597D45"/>
    <w:rsid w:val="005A11EE"/>
    <w:rsid w:val="005A255D"/>
    <w:rsid w:val="005A352E"/>
    <w:rsid w:val="005A5B69"/>
    <w:rsid w:val="005A60DB"/>
    <w:rsid w:val="005B0DA9"/>
    <w:rsid w:val="005B2812"/>
    <w:rsid w:val="005B369E"/>
    <w:rsid w:val="005C4549"/>
    <w:rsid w:val="005C54B5"/>
    <w:rsid w:val="005C72CC"/>
    <w:rsid w:val="005D200D"/>
    <w:rsid w:val="005D2748"/>
    <w:rsid w:val="005D6215"/>
    <w:rsid w:val="005D6548"/>
    <w:rsid w:val="005D75DC"/>
    <w:rsid w:val="005E48D9"/>
    <w:rsid w:val="005E5305"/>
    <w:rsid w:val="005E5D5D"/>
    <w:rsid w:val="005F219C"/>
    <w:rsid w:val="005F44AC"/>
    <w:rsid w:val="0060044A"/>
    <w:rsid w:val="00600530"/>
    <w:rsid w:val="006006C1"/>
    <w:rsid w:val="00602964"/>
    <w:rsid w:val="0060395E"/>
    <w:rsid w:val="006046FF"/>
    <w:rsid w:val="00604A08"/>
    <w:rsid w:val="00616CBE"/>
    <w:rsid w:val="0062009B"/>
    <w:rsid w:val="00621EE2"/>
    <w:rsid w:val="00622565"/>
    <w:rsid w:val="0063036E"/>
    <w:rsid w:val="00632F54"/>
    <w:rsid w:val="00633AF4"/>
    <w:rsid w:val="00635C80"/>
    <w:rsid w:val="0064022A"/>
    <w:rsid w:val="00643C8D"/>
    <w:rsid w:val="00647621"/>
    <w:rsid w:val="006501D3"/>
    <w:rsid w:val="006515F5"/>
    <w:rsid w:val="006534E8"/>
    <w:rsid w:val="006550B8"/>
    <w:rsid w:val="006610FF"/>
    <w:rsid w:val="006657E2"/>
    <w:rsid w:val="00665B9F"/>
    <w:rsid w:val="00672C43"/>
    <w:rsid w:val="006753A2"/>
    <w:rsid w:val="00680C6F"/>
    <w:rsid w:val="00681E86"/>
    <w:rsid w:val="00685229"/>
    <w:rsid w:val="006853BD"/>
    <w:rsid w:val="006874F2"/>
    <w:rsid w:val="006875BB"/>
    <w:rsid w:val="00687926"/>
    <w:rsid w:val="00691CD8"/>
    <w:rsid w:val="00692109"/>
    <w:rsid w:val="006954F1"/>
    <w:rsid w:val="0069624A"/>
    <w:rsid w:val="006A2843"/>
    <w:rsid w:val="006A4CF7"/>
    <w:rsid w:val="006A6360"/>
    <w:rsid w:val="006B08DF"/>
    <w:rsid w:val="006B2CA8"/>
    <w:rsid w:val="006B59BF"/>
    <w:rsid w:val="006C1037"/>
    <w:rsid w:val="006D2273"/>
    <w:rsid w:val="006D5CDC"/>
    <w:rsid w:val="006D70BA"/>
    <w:rsid w:val="006E3B56"/>
    <w:rsid w:val="006F7929"/>
    <w:rsid w:val="00701622"/>
    <w:rsid w:val="00707D2B"/>
    <w:rsid w:val="0071049C"/>
    <w:rsid w:val="007128D2"/>
    <w:rsid w:val="00713B1F"/>
    <w:rsid w:val="00717266"/>
    <w:rsid w:val="00727233"/>
    <w:rsid w:val="00730788"/>
    <w:rsid w:val="0073089A"/>
    <w:rsid w:val="00731AE2"/>
    <w:rsid w:val="00740CB1"/>
    <w:rsid w:val="00742CA5"/>
    <w:rsid w:val="00752674"/>
    <w:rsid w:val="00752EAD"/>
    <w:rsid w:val="00757D28"/>
    <w:rsid w:val="0076392F"/>
    <w:rsid w:val="0077068A"/>
    <w:rsid w:val="00771095"/>
    <w:rsid w:val="00771ACE"/>
    <w:rsid w:val="007735F7"/>
    <w:rsid w:val="0078002C"/>
    <w:rsid w:val="007858E3"/>
    <w:rsid w:val="007903B1"/>
    <w:rsid w:val="0079069F"/>
    <w:rsid w:val="00791909"/>
    <w:rsid w:val="00791A2C"/>
    <w:rsid w:val="007940FC"/>
    <w:rsid w:val="00794EF0"/>
    <w:rsid w:val="007A12BD"/>
    <w:rsid w:val="007A3013"/>
    <w:rsid w:val="007A392A"/>
    <w:rsid w:val="007A6A50"/>
    <w:rsid w:val="007B65ED"/>
    <w:rsid w:val="007C35C5"/>
    <w:rsid w:val="007D1FEC"/>
    <w:rsid w:val="007D26DC"/>
    <w:rsid w:val="007D359B"/>
    <w:rsid w:val="007D506F"/>
    <w:rsid w:val="007D5985"/>
    <w:rsid w:val="007D7B02"/>
    <w:rsid w:val="007E58BE"/>
    <w:rsid w:val="007E76A2"/>
    <w:rsid w:val="007F14F1"/>
    <w:rsid w:val="007F2ABA"/>
    <w:rsid w:val="007F5BCF"/>
    <w:rsid w:val="007F6F63"/>
    <w:rsid w:val="007F714F"/>
    <w:rsid w:val="008032C6"/>
    <w:rsid w:val="00806427"/>
    <w:rsid w:val="00810221"/>
    <w:rsid w:val="00810457"/>
    <w:rsid w:val="00811BF0"/>
    <w:rsid w:val="00815AAF"/>
    <w:rsid w:val="008266EE"/>
    <w:rsid w:val="00826D27"/>
    <w:rsid w:val="00826FDC"/>
    <w:rsid w:val="00832B4A"/>
    <w:rsid w:val="008459DC"/>
    <w:rsid w:val="00847CD2"/>
    <w:rsid w:val="008501F0"/>
    <w:rsid w:val="008545F3"/>
    <w:rsid w:val="00857529"/>
    <w:rsid w:val="00857884"/>
    <w:rsid w:val="0086024E"/>
    <w:rsid w:val="008602D4"/>
    <w:rsid w:val="0086043C"/>
    <w:rsid w:val="00860B3E"/>
    <w:rsid w:val="008615CA"/>
    <w:rsid w:val="00862339"/>
    <w:rsid w:val="008677B9"/>
    <w:rsid w:val="00870FEA"/>
    <w:rsid w:val="0087100B"/>
    <w:rsid w:val="008714C5"/>
    <w:rsid w:val="00875C35"/>
    <w:rsid w:val="00884DA9"/>
    <w:rsid w:val="00886A94"/>
    <w:rsid w:val="0089332C"/>
    <w:rsid w:val="008947CE"/>
    <w:rsid w:val="008A0DCD"/>
    <w:rsid w:val="008A198A"/>
    <w:rsid w:val="008A2937"/>
    <w:rsid w:val="008A2D11"/>
    <w:rsid w:val="008A50D6"/>
    <w:rsid w:val="008A593B"/>
    <w:rsid w:val="008A7C33"/>
    <w:rsid w:val="008B1E2A"/>
    <w:rsid w:val="008B25D9"/>
    <w:rsid w:val="008B767C"/>
    <w:rsid w:val="008C733F"/>
    <w:rsid w:val="008D1A04"/>
    <w:rsid w:val="008D256D"/>
    <w:rsid w:val="008D2D94"/>
    <w:rsid w:val="008D37D2"/>
    <w:rsid w:val="008D5925"/>
    <w:rsid w:val="008E06A6"/>
    <w:rsid w:val="008E12BE"/>
    <w:rsid w:val="008E4C51"/>
    <w:rsid w:val="008E6747"/>
    <w:rsid w:val="008F19F2"/>
    <w:rsid w:val="008F25AA"/>
    <w:rsid w:val="00906200"/>
    <w:rsid w:val="00907A91"/>
    <w:rsid w:val="00914C8E"/>
    <w:rsid w:val="009170C7"/>
    <w:rsid w:val="0092306B"/>
    <w:rsid w:val="0092592D"/>
    <w:rsid w:val="00925B31"/>
    <w:rsid w:val="00926DC5"/>
    <w:rsid w:val="0092720F"/>
    <w:rsid w:val="009368CE"/>
    <w:rsid w:val="00936F16"/>
    <w:rsid w:val="00937B2B"/>
    <w:rsid w:val="00941A30"/>
    <w:rsid w:val="009444D3"/>
    <w:rsid w:val="00947539"/>
    <w:rsid w:val="009538C2"/>
    <w:rsid w:val="0095396E"/>
    <w:rsid w:val="00954EB3"/>
    <w:rsid w:val="009562C4"/>
    <w:rsid w:val="00961677"/>
    <w:rsid w:val="0096313F"/>
    <w:rsid w:val="00966ABA"/>
    <w:rsid w:val="00966C06"/>
    <w:rsid w:val="0097201A"/>
    <w:rsid w:val="00972E70"/>
    <w:rsid w:val="00975520"/>
    <w:rsid w:val="009820E8"/>
    <w:rsid w:val="00982BBF"/>
    <w:rsid w:val="009843EB"/>
    <w:rsid w:val="00985E50"/>
    <w:rsid w:val="009900DC"/>
    <w:rsid w:val="009972DF"/>
    <w:rsid w:val="00997D1B"/>
    <w:rsid w:val="009A2CEA"/>
    <w:rsid w:val="009B1645"/>
    <w:rsid w:val="009B200B"/>
    <w:rsid w:val="009B6124"/>
    <w:rsid w:val="009B700C"/>
    <w:rsid w:val="009B7419"/>
    <w:rsid w:val="009C0369"/>
    <w:rsid w:val="009C3290"/>
    <w:rsid w:val="009D2007"/>
    <w:rsid w:val="009D42E0"/>
    <w:rsid w:val="009D6A1C"/>
    <w:rsid w:val="009D6FB0"/>
    <w:rsid w:val="009D7B39"/>
    <w:rsid w:val="009E391E"/>
    <w:rsid w:val="009E4EC4"/>
    <w:rsid w:val="009F0805"/>
    <w:rsid w:val="009F14A4"/>
    <w:rsid w:val="009F3003"/>
    <w:rsid w:val="009F43B2"/>
    <w:rsid w:val="009F4F86"/>
    <w:rsid w:val="009F559E"/>
    <w:rsid w:val="009F64BF"/>
    <w:rsid w:val="00A012C0"/>
    <w:rsid w:val="00A066A6"/>
    <w:rsid w:val="00A12157"/>
    <w:rsid w:val="00A127FC"/>
    <w:rsid w:val="00A13B8B"/>
    <w:rsid w:val="00A17260"/>
    <w:rsid w:val="00A200BE"/>
    <w:rsid w:val="00A207C2"/>
    <w:rsid w:val="00A26B3D"/>
    <w:rsid w:val="00A300A7"/>
    <w:rsid w:val="00A306A3"/>
    <w:rsid w:val="00A30C46"/>
    <w:rsid w:val="00A400C8"/>
    <w:rsid w:val="00A427EF"/>
    <w:rsid w:val="00A4403A"/>
    <w:rsid w:val="00A509DB"/>
    <w:rsid w:val="00A52F04"/>
    <w:rsid w:val="00A53F9C"/>
    <w:rsid w:val="00A541B9"/>
    <w:rsid w:val="00A56436"/>
    <w:rsid w:val="00A6030F"/>
    <w:rsid w:val="00A60650"/>
    <w:rsid w:val="00A61915"/>
    <w:rsid w:val="00A71462"/>
    <w:rsid w:val="00A72ECF"/>
    <w:rsid w:val="00A74F6C"/>
    <w:rsid w:val="00A75382"/>
    <w:rsid w:val="00A76817"/>
    <w:rsid w:val="00A7771C"/>
    <w:rsid w:val="00A80C2F"/>
    <w:rsid w:val="00A84FC3"/>
    <w:rsid w:val="00A919AF"/>
    <w:rsid w:val="00A92BC1"/>
    <w:rsid w:val="00A94AD0"/>
    <w:rsid w:val="00A95A80"/>
    <w:rsid w:val="00AA0FC8"/>
    <w:rsid w:val="00AA1536"/>
    <w:rsid w:val="00AA196B"/>
    <w:rsid w:val="00AA19D4"/>
    <w:rsid w:val="00AA618D"/>
    <w:rsid w:val="00AA6B52"/>
    <w:rsid w:val="00AA6E5F"/>
    <w:rsid w:val="00AB1455"/>
    <w:rsid w:val="00AB22B0"/>
    <w:rsid w:val="00AB3779"/>
    <w:rsid w:val="00AB5091"/>
    <w:rsid w:val="00AB6DED"/>
    <w:rsid w:val="00AB76AF"/>
    <w:rsid w:val="00AB7D32"/>
    <w:rsid w:val="00AC3489"/>
    <w:rsid w:val="00AC5820"/>
    <w:rsid w:val="00AC67A6"/>
    <w:rsid w:val="00AD606C"/>
    <w:rsid w:val="00AD6D0B"/>
    <w:rsid w:val="00AD7B14"/>
    <w:rsid w:val="00AE2693"/>
    <w:rsid w:val="00AE34FB"/>
    <w:rsid w:val="00AE3905"/>
    <w:rsid w:val="00AE3E57"/>
    <w:rsid w:val="00AE501B"/>
    <w:rsid w:val="00AE507F"/>
    <w:rsid w:val="00AE6BD7"/>
    <w:rsid w:val="00AE7033"/>
    <w:rsid w:val="00AF112C"/>
    <w:rsid w:val="00AF2484"/>
    <w:rsid w:val="00AF3970"/>
    <w:rsid w:val="00AF3981"/>
    <w:rsid w:val="00AF413E"/>
    <w:rsid w:val="00AF4E7F"/>
    <w:rsid w:val="00AF5B9E"/>
    <w:rsid w:val="00B00E88"/>
    <w:rsid w:val="00B01A25"/>
    <w:rsid w:val="00B02277"/>
    <w:rsid w:val="00B03F79"/>
    <w:rsid w:val="00B06F6E"/>
    <w:rsid w:val="00B12446"/>
    <w:rsid w:val="00B138B5"/>
    <w:rsid w:val="00B140A7"/>
    <w:rsid w:val="00B20E17"/>
    <w:rsid w:val="00B20E8F"/>
    <w:rsid w:val="00B23196"/>
    <w:rsid w:val="00B254F9"/>
    <w:rsid w:val="00B355B3"/>
    <w:rsid w:val="00B35E72"/>
    <w:rsid w:val="00B372CF"/>
    <w:rsid w:val="00B37E87"/>
    <w:rsid w:val="00B40CCC"/>
    <w:rsid w:val="00B42DAE"/>
    <w:rsid w:val="00B43C6A"/>
    <w:rsid w:val="00B46ED4"/>
    <w:rsid w:val="00B51C5D"/>
    <w:rsid w:val="00B525C2"/>
    <w:rsid w:val="00B52648"/>
    <w:rsid w:val="00B55375"/>
    <w:rsid w:val="00B575FC"/>
    <w:rsid w:val="00B6265B"/>
    <w:rsid w:val="00B6488E"/>
    <w:rsid w:val="00B6508B"/>
    <w:rsid w:val="00B66419"/>
    <w:rsid w:val="00B70B52"/>
    <w:rsid w:val="00B71D00"/>
    <w:rsid w:val="00B74D63"/>
    <w:rsid w:val="00B759AB"/>
    <w:rsid w:val="00B76D15"/>
    <w:rsid w:val="00B77C97"/>
    <w:rsid w:val="00B77D87"/>
    <w:rsid w:val="00B77E55"/>
    <w:rsid w:val="00B8065F"/>
    <w:rsid w:val="00B84D0C"/>
    <w:rsid w:val="00B86552"/>
    <w:rsid w:val="00B87B06"/>
    <w:rsid w:val="00B914EE"/>
    <w:rsid w:val="00B94381"/>
    <w:rsid w:val="00BA010D"/>
    <w:rsid w:val="00BA22E9"/>
    <w:rsid w:val="00BA5F22"/>
    <w:rsid w:val="00BB130B"/>
    <w:rsid w:val="00BB3389"/>
    <w:rsid w:val="00BB3989"/>
    <w:rsid w:val="00BB4CF4"/>
    <w:rsid w:val="00BB7E8D"/>
    <w:rsid w:val="00BC21E9"/>
    <w:rsid w:val="00BC6211"/>
    <w:rsid w:val="00BD0391"/>
    <w:rsid w:val="00BD1378"/>
    <w:rsid w:val="00BD2CBD"/>
    <w:rsid w:val="00BD4DEE"/>
    <w:rsid w:val="00BF0337"/>
    <w:rsid w:val="00BF40C1"/>
    <w:rsid w:val="00BF4100"/>
    <w:rsid w:val="00BF621E"/>
    <w:rsid w:val="00BF7589"/>
    <w:rsid w:val="00C00AF3"/>
    <w:rsid w:val="00C0265E"/>
    <w:rsid w:val="00C13209"/>
    <w:rsid w:val="00C140C2"/>
    <w:rsid w:val="00C17AE1"/>
    <w:rsid w:val="00C23363"/>
    <w:rsid w:val="00C25EA5"/>
    <w:rsid w:val="00C30FA2"/>
    <w:rsid w:val="00C348AF"/>
    <w:rsid w:val="00C34A60"/>
    <w:rsid w:val="00C34D7B"/>
    <w:rsid w:val="00C34F4D"/>
    <w:rsid w:val="00C357C1"/>
    <w:rsid w:val="00C377CE"/>
    <w:rsid w:val="00C40A67"/>
    <w:rsid w:val="00C45545"/>
    <w:rsid w:val="00C532AD"/>
    <w:rsid w:val="00C55CA5"/>
    <w:rsid w:val="00C56809"/>
    <w:rsid w:val="00C57400"/>
    <w:rsid w:val="00C57AC1"/>
    <w:rsid w:val="00C62A1F"/>
    <w:rsid w:val="00C63A9B"/>
    <w:rsid w:val="00C6613C"/>
    <w:rsid w:val="00C71673"/>
    <w:rsid w:val="00C7666C"/>
    <w:rsid w:val="00C777B3"/>
    <w:rsid w:val="00C82173"/>
    <w:rsid w:val="00C82C93"/>
    <w:rsid w:val="00C8326A"/>
    <w:rsid w:val="00C837F2"/>
    <w:rsid w:val="00C85938"/>
    <w:rsid w:val="00C9079B"/>
    <w:rsid w:val="00C91721"/>
    <w:rsid w:val="00C973B7"/>
    <w:rsid w:val="00CA256B"/>
    <w:rsid w:val="00CA3F6A"/>
    <w:rsid w:val="00CA4F70"/>
    <w:rsid w:val="00CB05C0"/>
    <w:rsid w:val="00CB1829"/>
    <w:rsid w:val="00CB22A5"/>
    <w:rsid w:val="00CB5B48"/>
    <w:rsid w:val="00CB7167"/>
    <w:rsid w:val="00CB7538"/>
    <w:rsid w:val="00CB7CEE"/>
    <w:rsid w:val="00CC3860"/>
    <w:rsid w:val="00CC4BCC"/>
    <w:rsid w:val="00CC78D3"/>
    <w:rsid w:val="00CD5C00"/>
    <w:rsid w:val="00CD61A5"/>
    <w:rsid w:val="00CE0231"/>
    <w:rsid w:val="00CE250D"/>
    <w:rsid w:val="00CE4CCE"/>
    <w:rsid w:val="00CE5298"/>
    <w:rsid w:val="00CF0E67"/>
    <w:rsid w:val="00CF5A26"/>
    <w:rsid w:val="00D038A7"/>
    <w:rsid w:val="00D056EC"/>
    <w:rsid w:val="00D05B2B"/>
    <w:rsid w:val="00D05E52"/>
    <w:rsid w:val="00D07CC2"/>
    <w:rsid w:val="00D1126E"/>
    <w:rsid w:val="00D15360"/>
    <w:rsid w:val="00D1589E"/>
    <w:rsid w:val="00D15C40"/>
    <w:rsid w:val="00D1788F"/>
    <w:rsid w:val="00D2026C"/>
    <w:rsid w:val="00D22CE6"/>
    <w:rsid w:val="00D249CA"/>
    <w:rsid w:val="00D24F1A"/>
    <w:rsid w:val="00D3047B"/>
    <w:rsid w:val="00D33DF8"/>
    <w:rsid w:val="00D34D69"/>
    <w:rsid w:val="00D35B26"/>
    <w:rsid w:val="00D37554"/>
    <w:rsid w:val="00D44F44"/>
    <w:rsid w:val="00D51B7A"/>
    <w:rsid w:val="00D53072"/>
    <w:rsid w:val="00D530A1"/>
    <w:rsid w:val="00D532BA"/>
    <w:rsid w:val="00D53B84"/>
    <w:rsid w:val="00D5471F"/>
    <w:rsid w:val="00D55DF7"/>
    <w:rsid w:val="00D60ABF"/>
    <w:rsid w:val="00D63564"/>
    <w:rsid w:val="00D6527E"/>
    <w:rsid w:val="00D71242"/>
    <w:rsid w:val="00D71CF5"/>
    <w:rsid w:val="00D72E45"/>
    <w:rsid w:val="00D75DAD"/>
    <w:rsid w:val="00D760F0"/>
    <w:rsid w:val="00D85AFE"/>
    <w:rsid w:val="00D87433"/>
    <w:rsid w:val="00D92BEC"/>
    <w:rsid w:val="00D960BF"/>
    <w:rsid w:val="00D96E4D"/>
    <w:rsid w:val="00D971ED"/>
    <w:rsid w:val="00DA1972"/>
    <w:rsid w:val="00DA2D35"/>
    <w:rsid w:val="00DA658A"/>
    <w:rsid w:val="00DB04F9"/>
    <w:rsid w:val="00DB064A"/>
    <w:rsid w:val="00DB146A"/>
    <w:rsid w:val="00DB76EC"/>
    <w:rsid w:val="00DC0F5B"/>
    <w:rsid w:val="00DC2001"/>
    <w:rsid w:val="00DC3AC2"/>
    <w:rsid w:val="00DC7944"/>
    <w:rsid w:val="00DD11EA"/>
    <w:rsid w:val="00DD1627"/>
    <w:rsid w:val="00DD35A4"/>
    <w:rsid w:val="00DD47A5"/>
    <w:rsid w:val="00DD5416"/>
    <w:rsid w:val="00DD6496"/>
    <w:rsid w:val="00DD690B"/>
    <w:rsid w:val="00DD7FA7"/>
    <w:rsid w:val="00DE08A4"/>
    <w:rsid w:val="00DE2BC2"/>
    <w:rsid w:val="00DE70FF"/>
    <w:rsid w:val="00DF1E5C"/>
    <w:rsid w:val="00DF4E68"/>
    <w:rsid w:val="00DF58C9"/>
    <w:rsid w:val="00E020B6"/>
    <w:rsid w:val="00E03D80"/>
    <w:rsid w:val="00E140D0"/>
    <w:rsid w:val="00E20794"/>
    <w:rsid w:val="00E20BB6"/>
    <w:rsid w:val="00E20EA6"/>
    <w:rsid w:val="00E23920"/>
    <w:rsid w:val="00E25F01"/>
    <w:rsid w:val="00E26B94"/>
    <w:rsid w:val="00E27E63"/>
    <w:rsid w:val="00E30105"/>
    <w:rsid w:val="00E3486B"/>
    <w:rsid w:val="00E359B3"/>
    <w:rsid w:val="00E368BC"/>
    <w:rsid w:val="00E43F8B"/>
    <w:rsid w:val="00E54EC2"/>
    <w:rsid w:val="00E5575F"/>
    <w:rsid w:val="00E55D04"/>
    <w:rsid w:val="00E55E68"/>
    <w:rsid w:val="00E561E7"/>
    <w:rsid w:val="00E6120D"/>
    <w:rsid w:val="00E61F66"/>
    <w:rsid w:val="00E62D83"/>
    <w:rsid w:val="00E63BA0"/>
    <w:rsid w:val="00E666BB"/>
    <w:rsid w:val="00E670FD"/>
    <w:rsid w:val="00E73B61"/>
    <w:rsid w:val="00E745D9"/>
    <w:rsid w:val="00E753AA"/>
    <w:rsid w:val="00E772B6"/>
    <w:rsid w:val="00E817B2"/>
    <w:rsid w:val="00E82F5D"/>
    <w:rsid w:val="00E840DD"/>
    <w:rsid w:val="00E850F8"/>
    <w:rsid w:val="00E86781"/>
    <w:rsid w:val="00E93854"/>
    <w:rsid w:val="00E93F07"/>
    <w:rsid w:val="00E948A8"/>
    <w:rsid w:val="00E95F96"/>
    <w:rsid w:val="00E97FBE"/>
    <w:rsid w:val="00EA1C07"/>
    <w:rsid w:val="00EA232F"/>
    <w:rsid w:val="00EA27A3"/>
    <w:rsid w:val="00EA28CB"/>
    <w:rsid w:val="00EA458E"/>
    <w:rsid w:val="00EA72AB"/>
    <w:rsid w:val="00EB22C3"/>
    <w:rsid w:val="00EC0AC5"/>
    <w:rsid w:val="00EC4559"/>
    <w:rsid w:val="00EC7585"/>
    <w:rsid w:val="00ED03F8"/>
    <w:rsid w:val="00EE3D18"/>
    <w:rsid w:val="00EE64B2"/>
    <w:rsid w:val="00EF0BEC"/>
    <w:rsid w:val="00EF5053"/>
    <w:rsid w:val="00EF63A6"/>
    <w:rsid w:val="00F0060B"/>
    <w:rsid w:val="00F0333E"/>
    <w:rsid w:val="00F04053"/>
    <w:rsid w:val="00F05E53"/>
    <w:rsid w:val="00F1077B"/>
    <w:rsid w:val="00F11E01"/>
    <w:rsid w:val="00F141C9"/>
    <w:rsid w:val="00F15362"/>
    <w:rsid w:val="00F20BDD"/>
    <w:rsid w:val="00F212E7"/>
    <w:rsid w:val="00F26A99"/>
    <w:rsid w:val="00F26B33"/>
    <w:rsid w:val="00F33F5F"/>
    <w:rsid w:val="00F36B81"/>
    <w:rsid w:val="00F43E6B"/>
    <w:rsid w:val="00F47ECA"/>
    <w:rsid w:val="00F50471"/>
    <w:rsid w:val="00F5066C"/>
    <w:rsid w:val="00F52CA1"/>
    <w:rsid w:val="00F52D47"/>
    <w:rsid w:val="00F53D3C"/>
    <w:rsid w:val="00F60103"/>
    <w:rsid w:val="00F62041"/>
    <w:rsid w:val="00F63158"/>
    <w:rsid w:val="00F65D04"/>
    <w:rsid w:val="00F70887"/>
    <w:rsid w:val="00F826ED"/>
    <w:rsid w:val="00F875BD"/>
    <w:rsid w:val="00F93BCB"/>
    <w:rsid w:val="00F94484"/>
    <w:rsid w:val="00FA3635"/>
    <w:rsid w:val="00FA449D"/>
    <w:rsid w:val="00FB0BEE"/>
    <w:rsid w:val="00FB1226"/>
    <w:rsid w:val="00FB29B0"/>
    <w:rsid w:val="00FB3322"/>
    <w:rsid w:val="00FB3938"/>
    <w:rsid w:val="00FB3B2E"/>
    <w:rsid w:val="00FB7052"/>
    <w:rsid w:val="00FC13AF"/>
    <w:rsid w:val="00FC5E69"/>
    <w:rsid w:val="00FC70CA"/>
    <w:rsid w:val="00FD6A6C"/>
    <w:rsid w:val="00FD6A6D"/>
    <w:rsid w:val="00FD7E3F"/>
    <w:rsid w:val="00FE0459"/>
    <w:rsid w:val="00FE07F5"/>
    <w:rsid w:val="00FE1A97"/>
    <w:rsid w:val="00FE4D63"/>
    <w:rsid w:val="00FE4DD6"/>
    <w:rsid w:val="00FE631C"/>
    <w:rsid w:val="00FF0534"/>
    <w:rsid w:val="00FF0A9E"/>
    <w:rsid w:val="00FF1EA7"/>
    <w:rsid w:val="00FF4521"/>
    <w:rsid w:val="0AA7C8EE"/>
    <w:rsid w:val="0D740241"/>
    <w:rsid w:val="113541FE"/>
    <w:rsid w:val="13BA817B"/>
    <w:rsid w:val="1D2EFA9F"/>
    <w:rsid w:val="1E5335C5"/>
    <w:rsid w:val="28919E11"/>
    <w:rsid w:val="364E7A55"/>
    <w:rsid w:val="3C23FAA4"/>
    <w:rsid w:val="3E9C4B96"/>
    <w:rsid w:val="402EB5EE"/>
    <w:rsid w:val="44452A35"/>
    <w:rsid w:val="4CC8F812"/>
    <w:rsid w:val="4EE57BA9"/>
    <w:rsid w:val="7ECB0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C058"/>
  <w15:docId w15:val="{7B5D3DE2-8B0E-44B7-B2D6-FF3D8B44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A9"/>
    <w:pPr>
      <w:spacing w:before="40" w:after="80" w:line="240" w:lineRule="auto"/>
      <w:ind w:left="709"/>
    </w:pPr>
    <w:rPr>
      <w:rFonts w:ascii="Calibri" w:hAnsi="Calibri" w:cs="Times New Roman"/>
      <w:szCs w:val="21"/>
      <w:lang w:eastAsia="en-AU"/>
    </w:rPr>
  </w:style>
  <w:style w:type="paragraph" w:styleId="Heading1">
    <w:name w:val="heading 1"/>
    <w:basedOn w:val="Heading1a"/>
    <w:next w:val="Heading2"/>
    <w:link w:val="Heading1Char"/>
    <w:uiPriority w:val="9"/>
    <w:qFormat/>
    <w:rsid w:val="00A76817"/>
    <w:pPr>
      <w:numPr>
        <w:numId w:val="12"/>
      </w:numPr>
      <w:spacing w:before="480"/>
      <w:outlineLvl w:val="0"/>
    </w:pPr>
    <w:rPr>
      <w:caps w:val="0"/>
      <w:sz w:val="40"/>
      <w:szCs w:val="40"/>
    </w:rPr>
  </w:style>
  <w:style w:type="paragraph" w:styleId="Heading2">
    <w:name w:val="heading 2"/>
    <w:next w:val="Heading3"/>
    <w:link w:val="Heading2Char"/>
    <w:uiPriority w:val="9"/>
    <w:unhideWhenUsed/>
    <w:qFormat/>
    <w:rsid w:val="00A76817"/>
    <w:pPr>
      <w:keepNext/>
      <w:numPr>
        <w:ilvl w:val="1"/>
        <w:numId w:val="12"/>
      </w:numPr>
      <w:tabs>
        <w:tab w:val="left" w:pos="709"/>
      </w:tabs>
      <w:suppressAutoHyphens/>
      <w:spacing w:before="240" w:after="120" w:line="240" w:lineRule="auto"/>
      <w:outlineLvl w:val="1"/>
    </w:pPr>
    <w:rPr>
      <w:rFonts w:ascii="Arial" w:hAnsi="Arial" w:cs="Calibri"/>
      <w:b/>
      <w:color w:val="7030A0"/>
      <w:sz w:val="28"/>
      <w:szCs w:val="36"/>
      <w:lang w:eastAsia="en-AU"/>
    </w:rPr>
  </w:style>
  <w:style w:type="paragraph" w:styleId="Heading3">
    <w:name w:val="heading 3"/>
    <w:basedOn w:val="Normal"/>
    <w:next w:val="Normal"/>
    <w:link w:val="Heading3Char"/>
    <w:uiPriority w:val="9"/>
    <w:unhideWhenUsed/>
    <w:qFormat/>
    <w:rsid w:val="00BB4CF4"/>
    <w:pPr>
      <w:keepNext/>
      <w:numPr>
        <w:ilvl w:val="2"/>
        <w:numId w:val="12"/>
      </w:numPr>
      <w:suppressAutoHyphens/>
      <w:spacing w:before="200" w:after="60" w:line="240" w:lineRule="exact"/>
      <w:outlineLvl w:val="2"/>
    </w:pPr>
    <w:rPr>
      <w:b/>
      <w:color w:val="7F7F7F" w:themeColor="text1" w:themeTint="80"/>
      <w:sz w:val="26"/>
      <w:szCs w:val="28"/>
    </w:rPr>
  </w:style>
  <w:style w:type="paragraph" w:styleId="Heading4">
    <w:name w:val="heading 4"/>
    <w:basedOn w:val="Normal"/>
    <w:link w:val="Heading4Char"/>
    <w:uiPriority w:val="9"/>
    <w:unhideWhenUsed/>
    <w:qFormat/>
    <w:rsid w:val="00BB4CF4"/>
    <w:pPr>
      <w:keepNext/>
      <w:spacing w:before="240" w:after="240" w:line="240" w:lineRule="exact"/>
      <w:outlineLvl w:val="3"/>
    </w:pPr>
    <w:rPr>
      <w:b/>
      <w:bCs/>
      <w:color w:val="595959" w:themeColor="text1" w:themeTint="A6"/>
      <w:sz w:val="24"/>
      <w:szCs w:val="28"/>
    </w:rPr>
  </w:style>
  <w:style w:type="paragraph" w:styleId="Heading5">
    <w:name w:val="heading 5"/>
    <w:basedOn w:val="Normal"/>
    <w:next w:val="Normal"/>
    <w:link w:val="Heading5Char"/>
    <w:uiPriority w:val="9"/>
    <w:unhideWhenUsed/>
    <w:qFormat/>
    <w:rsid w:val="00BB4CF4"/>
    <w:pPr>
      <w:keepNext/>
      <w:keepLines/>
      <w:outlineLvl w:val="4"/>
    </w:pPr>
    <w:rPr>
      <w:rFonts w:asciiTheme="majorHAnsi" w:eastAsiaTheme="majorEastAsia" w:hAnsiTheme="majorHAnsi" w:cstheme="majorBidi"/>
      <w:i/>
      <w:color w:val="7F7F7F" w:themeColor="text1" w:themeTint="80"/>
      <w:sz w:val="20"/>
    </w:rPr>
  </w:style>
  <w:style w:type="paragraph" w:styleId="Heading6">
    <w:name w:val="heading 6"/>
    <w:basedOn w:val="Normal"/>
    <w:next w:val="Normal"/>
    <w:link w:val="Heading6Char"/>
    <w:uiPriority w:val="9"/>
    <w:semiHidden/>
    <w:unhideWhenUsed/>
    <w:qFormat/>
    <w:rsid w:val="00DD690B"/>
    <w:pPr>
      <w:keepNext/>
      <w:keepLines/>
      <w:numPr>
        <w:ilvl w:val="5"/>
        <w:numId w:val="12"/>
      </w:numPr>
      <w:spacing w:after="0"/>
      <w:outlineLvl w:val="5"/>
    </w:pPr>
    <w:rPr>
      <w:rFonts w:asciiTheme="majorHAnsi" w:eastAsiaTheme="majorEastAsia" w:hAnsiTheme="majorHAnsi" w:cstheme="majorBidi"/>
      <w:color w:val="181818" w:themeColor="accent1" w:themeShade="7F"/>
    </w:rPr>
  </w:style>
  <w:style w:type="paragraph" w:styleId="Heading7">
    <w:name w:val="heading 7"/>
    <w:basedOn w:val="Normal"/>
    <w:next w:val="Normal"/>
    <w:link w:val="Heading7Char"/>
    <w:uiPriority w:val="9"/>
    <w:semiHidden/>
    <w:unhideWhenUsed/>
    <w:qFormat/>
    <w:rsid w:val="00DD690B"/>
    <w:pPr>
      <w:keepNext/>
      <w:keepLines/>
      <w:numPr>
        <w:ilvl w:val="6"/>
        <w:numId w:val="12"/>
      </w:numPr>
      <w:spacing w:after="0"/>
      <w:outlineLvl w:val="6"/>
    </w:pPr>
    <w:rPr>
      <w:rFonts w:asciiTheme="majorHAnsi" w:eastAsiaTheme="majorEastAsia" w:hAnsiTheme="majorHAnsi" w:cstheme="majorBidi"/>
      <w:i/>
      <w:iCs/>
      <w:color w:val="181818" w:themeColor="accent1" w:themeShade="7F"/>
    </w:rPr>
  </w:style>
  <w:style w:type="paragraph" w:styleId="Heading8">
    <w:name w:val="heading 8"/>
    <w:basedOn w:val="Normal"/>
    <w:next w:val="Normal"/>
    <w:link w:val="Heading8Char"/>
    <w:uiPriority w:val="9"/>
    <w:semiHidden/>
    <w:unhideWhenUsed/>
    <w:qFormat/>
    <w:rsid w:val="00DD690B"/>
    <w:pPr>
      <w:keepNext/>
      <w:keepLines/>
      <w:numPr>
        <w:ilvl w:val="7"/>
        <w:numId w:val="12"/>
      </w:numPr>
      <w:spacing w:after="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DD690B"/>
    <w:pPr>
      <w:keepNext/>
      <w:keepLines/>
      <w:numPr>
        <w:ilvl w:val="8"/>
        <w:numId w:val="12"/>
      </w:numPr>
      <w:spacing w:after="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17"/>
    <w:rPr>
      <w:rFonts w:asciiTheme="majorHAnsi" w:eastAsiaTheme="majorEastAsia" w:hAnsiTheme="majorHAnsi" w:cs="Calibri"/>
      <w:b/>
      <w:bCs/>
      <w:color w:val="482D8C"/>
      <w:spacing w:val="-20"/>
      <w:kern w:val="36"/>
      <w:sz w:val="40"/>
      <w:szCs w:val="40"/>
      <w:lang w:eastAsia="en-AU"/>
    </w:rPr>
  </w:style>
  <w:style w:type="character" w:customStyle="1" w:styleId="Heading2Char">
    <w:name w:val="Heading 2 Char"/>
    <w:basedOn w:val="DefaultParagraphFont"/>
    <w:link w:val="Heading2"/>
    <w:uiPriority w:val="9"/>
    <w:rsid w:val="00A76817"/>
    <w:rPr>
      <w:rFonts w:ascii="Arial" w:hAnsi="Arial" w:cs="Calibri"/>
      <w:b/>
      <w:color w:val="7030A0"/>
      <w:sz w:val="28"/>
      <w:szCs w:val="36"/>
      <w:lang w:eastAsia="en-AU"/>
    </w:rPr>
  </w:style>
  <w:style w:type="character" w:customStyle="1" w:styleId="Heading3Char">
    <w:name w:val="Heading 3 Char"/>
    <w:basedOn w:val="DefaultParagraphFont"/>
    <w:link w:val="Heading3"/>
    <w:uiPriority w:val="9"/>
    <w:rsid w:val="00BB4CF4"/>
    <w:rPr>
      <w:rFonts w:ascii="Calibri" w:hAnsi="Calibri" w:cs="Times New Roman"/>
      <w:b/>
      <w:color w:val="7F7F7F" w:themeColor="text1" w:themeTint="80"/>
      <w:sz w:val="26"/>
      <w:szCs w:val="28"/>
      <w:lang w:eastAsia="en-AU"/>
    </w:rPr>
  </w:style>
  <w:style w:type="character" w:customStyle="1" w:styleId="Heading4Char">
    <w:name w:val="Heading 4 Char"/>
    <w:basedOn w:val="DefaultParagraphFont"/>
    <w:link w:val="Heading4"/>
    <w:uiPriority w:val="9"/>
    <w:rsid w:val="00BB4CF4"/>
    <w:rPr>
      <w:rFonts w:ascii="Calibri" w:hAnsi="Calibri" w:cs="Times New Roman"/>
      <w:b/>
      <w:bCs/>
      <w:color w:val="595959" w:themeColor="text1" w:themeTint="A6"/>
      <w:sz w:val="24"/>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2C0DE1"/>
    <w:pPr>
      <w:keepNext/>
      <w:tabs>
        <w:tab w:val="left" w:pos="880"/>
        <w:tab w:val="right" w:leader="dot" w:pos="9060"/>
      </w:tabs>
      <w:spacing w:before="0" w:after="0"/>
      <w:ind w:left="0"/>
    </w:pPr>
    <w:rPr>
      <w:rFonts w:asciiTheme="majorHAnsi" w:hAnsiTheme="majorHAnsi" w:cs="Calibri"/>
      <w:b/>
      <w:noProof/>
      <w:color w:val="482D8C"/>
      <w:sz w:val="24"/>
      <w:szCs w:val="40"/>
    </w:rPr>
  </w:style>
  <w:style w:type="paragraph" w:styleId="TOC2">
    <w:name w:val="toc 2"/>
    <w:basedOn w:val="Normal"/>
    <w:autoRedefine/>
    <w:uiPriority w:val="39"/>
    <w:unhideWhenUsed/>
    <w:rsid w:val="002C0DE1"/>
    <w:pPr>
      <w:keepNext/>
      <w:tabs>
        <w:tab w:val="left" w:pos="880"/>
        <w:tab w:val="right" w:leader="dot" w:pos="9060"/>
      </w:tabs>
      <w:spacing w:before="0" w:after="0" w:line="320" w:lineRule="exact"/>
      <w:ind w:left="142"/>
    </w:pPr>
    <w:rPr>
      <w:rFonts w:asciiTheme="majorHAnsi" w:hAnsiTheme="majorHAnsi" w:cs="Calibri"/>
      <w:noProof/>
      <w:color w:val="7030A0"/>
      <w:szCs w:val="32"/>
    </w:rPr>
  </w:style>
  <w:style w:type="paragraph" w:styleId="TOC3">
    <w:name w:val="toc 3"/>
    <w:basedOn w:val="Normal"/>
    <w:autoRedefine/>
    <w:uiPriority w:val="39"/>
    <w:unhideWhenUsed/>
    <w:rsid w:val="005115E8"/>
    <w:pPr>
      <w:keepNext/>
      <w:spacing w:before="200" w:line="240" w:lineRule="exact"/>
      <w:ind w:left="420"/>
    </w:pPr>
    <w:rPr>
      <w:szCs w:val="24"/>
    </w:rPr>
  </w:style>
  <w:style w:type="paragraph" w:styleId="Title">
    <w:name w:val="Title"/>
    <w:basedOn w:val="Normal"/>
    <w:link w:val="TitleChar"/>
    <w:uiPriority w:val="22"/>
    <w:qFormat/>
    <w:rsid w:val="007D506F"/>
    <w:pPr>
      <w:spacing w:after="240" w:line="680" w:lineRule="exact"/>
      <w:ind w:left="0"/>
    </w:pPr>
    <w:rPr>
      <w:rFonts w:ascii="Arial" w:hAnsi="Arial"/>
      <w:b/>
      <w:color w:val="FFFFFF" w:themeColor="background1"/>
      <w:w w:val="110"/>
      <w:sz w:val="72"/>
      <w:szCs w:val="72"/>
    </w:rPr>
  </w:style>
  <w:style w:type="character" w:customStyle="1" w:styleId="TitleChar">
    <w:name w:val="Title Char"/>
    <w:basedOn w:val="DefaultParagraphFont"/>
    <w:link w:val="Title"/>
    <w:uiPriority w:val="22"/>
    <w:rsid w:val="007D506F"/>
    <w:rPr>
      <w:rFonts w:ascii="Arial" w:hAnsi="Arial" w:cs="Times New Roman"/>
      <w:b/>
      <w:color w:val="FFFFFF" w:themeColor="background1"/>
      <w:w w:val="110"/>
      <w:sz w:val="72"/>
      <w:szCs w:val="72"/>
      <w:lang w:eastAsia="en-AU"/>
    </w:rPr>
  </w:style>
  <w:style w:type="paragraph" w:styleId="Subtitle">
    <w:name w:val="Subtitle"/>
    <w:basedOn w:val="Normal"/>
    <w:link w:val="SubtitleChar"/>
    <w:uiPriority w:val="23"/>
    <w:qFormat/>
    <w:rsid w:val="007D506F"/>
    <w:pPr>
      <w:spacing w:after="240" w:line="360" w:lineRule="exact"/>
      <w:ind w:left="0"/>
    </w:pPr>
    <w:rPr>
      <w:b/>
      <w:color w:val="FFFFFF" w:themeColor="background1"/>
      <w:sz w:val="48"/>
      <w:szCs w:val="40"/>
    </w:rPr>
  </w:style>
  <w:style w:type="character" w:customStyle="1" w:styleId="SubtitleChar">
    <w:name w:val="Subtitle Char"/>
    <w:basedOn w:val="DefaultParagraphFont"/>
    <w:link w:val="Subtitle"/>
    <w:uiPriority w:val="23"/>
    <w:rsid w:val="007D506F"/>
    <w:rPr>
      <w:rFonts w:ascii="Calibri" w:hAnsi="Calibri" w:cs="Times New Roman"/>
      <w:b/>
      <w:color w:val="FFFFFF" w:themeColor="background1"/>
      <w:sz w:val="48"/>
      <w:szCs w:val="40"/>
      <w:lang w:eastAsia="en-AU"/>
    </w:rPr>
  </w:style>
  <w:style w:type="paragraph" w:styleId="TOCHeading">
    <w:name w:val="TOC Heading"/>
    <w:basedOn w:val="Normal"/>
    <w:uiPriority w:val="39"/>
    <w:semiHidden/>
    <w:unhideWhenUsed/>
    <w:qFormat/>
    <w:rsid w:val="00AE6BD7"/>
    <w:pPr>
      <w:keepNext/>
      <w:spacing w:before="48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BB4CF4"/>
    <w:pPr>
      <w:numPr>
        <w:numId w:val="4"/>
      </w:numPr>
      <w:ind w:left="1066" w:hanging="357"/>
    </w:pPr>
  </w:style>
  <w:style w:type="paragraph" w:styleId="Header">
    <w:name w:val="header"/>
    <w:basedOn w:val="Normal"/>
    <w:link w:val="HeaderChar"/>
    <w:uiPriority w:val="99"/>
    <w:unhideWhenUsed/>
    <w:rsid w:val="00665B9F"/>
    <w:pPr>
      <w:tabs>
        <w:tab w:val="center" w:pos="4513"/>
        <w:tab w:val="right" w:pos="9026"/>
      </w:tabs>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nhideWhenUsed/>
    <w:rsid w:val="00665B9F"/>
    <w:pPr>
      <w:tabs>
        <w:tab w:val="center" w:pos="4513"/>
        <w:tab w:val="right" w:pos="9026"/>
      </w:tabs>
    </w:pPr>
  </w:style>
  <w:style w:type="character" w:customStyle="1" w:styleId="FooterChar">
    <w:name w:val="Footer Char"/>
    <w:basedOn w:val="DefaultParagraphFont"/>
    <w:link w:val="Footer"/>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rPr>
      <w:rFonts w:asciiTheme="majorHAnsi" w:eastAsiaTheme="majorEastAsia" w:hAnsiTheme="majorHAnsi" w:cstheme="majorBidi"/>
      <w:b/>
      <w:bCs/>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uiPriority w:val="2"/>
    <w:qFormat/>
    <w:rsid w:val="003E35E1"/>
    <w:pPr>
      <w:numPr>
        <w:numId w:val="1"/>
      </w:numPr>
      <w:spacing w:after="60"/>
    </w:pPr>
    <w:rPr>
      <w:rFonts w:eastAsia="Times New Roman"/>
      <w:szCs w:val="20"/>
      <w:lang w:eastAsia="en-US"/>
    </w:rPr>
  </w:style>
  <w:style w:type="character" w:customStyle="1" w:styleId="Bullet1Char">
    <w:name w:val="Bullet 1 Char"/>
    <w:basedOn w:val="DefaultParagraphFont"/>
    <w:link w:val="Bullet1"/>
    <w:uiPriority w:val="2"/>
    <w:rsid w:val="003E35E1"/>
    <w:rPr>
      <w:rFonts w:ascii="Calibri" w:eastAsia="Times New Roman" w:hAnsi="Calibri" w:cs="Times New Roman"/>
      <w:szCs w:val="20"/>
    </w:rPr>
  </w:style>
  <w:style w:type="paragraph" w:customStyle="1" w:styleId="Bullet2">
    <w:name w:val="Bullet 2"/>
    <w:basedOn w:val="Bullet1"/>
    <w:link w:val="Bullet2Char"/>
    <w:uiPriority w:val="2"/>
    <w:qFormat/>
    <w:rsid w:val="003E35E1"/>
    <w:pPr>
      <w:numPr>
        <w:numId w:val="2"/>
      </w:numPr>
    </w:pPr>
  </w:style>
  <w:style w:type="character" w:customStyle="1" w:styleId="Bullet2Char">
    <w:name w:val="Bullet 2 Char"/>
    <w:basedOn w:val="Bullet1Char"/>
    <w:link w:val="Bullet2"/>
    <w:uiPriority w:val="2"/>
    <w:rsid w:val="003E35E1"/>
    <w:rPr>
      <w:rFonts w:ascii="Calibri" w:eastAsia="Times New Roman" w:hAnsi="Calibri" w:cs="Times New Roman"/>
      <w:szCs w:val="20"/>
    </w:rPr>
  </w:style>
  <w:style w:type="paragraph" w:customStyle="1" w:styleId="Bullet3">
    <w:name w:val="Bullet 3"/>
    <w:qFormat/>
    <w:rsid w:val="003E35E1"/>
    <w:pPr>
      <w:numPr>
        <w:numId w:val="17"/>
      </w:numPr>
      <w:spacing w:before="30" w:after="30"/>
      <w:ind w:left="2058" w:hanging="357"/>
    </w:pPr>
    <w:rPr>
      <w:rFonts w:ascii="Calibri" w:eastAsia="Times New Roman" w:hAnsi="Calibri" w:cs="Times New Roman"/>
      <w:szCs w:val="20"/>
    </w:rPr>
  </w:style>
  <w:style w:type="paragraph" w:customStyle="1" w:styleId="Note">
    <w:name w:val="Note"/>
    <w:basedOn w:val="Normal"/>
    <w:link w:val="NoteChar"/>
    <w:qFormat/>
    <w:rsid w:val="00AE3905"/>
    <w:pPr>
      <w:keepNext/>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3"/>
      </w:numPr>
    </w:pPr>
    <w:rPr>
      <w:rFonts w:eastAsia="Times New Roman"/>
      <w:sz w:val="18"/>
      <w:szCs w:val="24"/>
      <w:lang w:eastAsia="en-US"/>
    </w:rPr>
  </w:style>
  <w:style w:type="character" w:customStyle="1" w:styleId="NoteslistChar">
    <w:name w:val="Notes list Char"/>
    <w:basedOn w:val="DefaultParagraphFont"/>
    <w:link w:val="Noteslist"/>
    <w:rsid w:val="0086024E"/>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7E76A2"/>
    <w:pPr>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rPr>
  </w:style>
  <w:style w:type="paragraph" w:styleId="EnvelopeReturn">
    <w:name w:val="envelope return"/>
    <w:basedOn w:val="Normal"/>
    <w:uiPriority w:val="99"/>
    <w:unhideWhenUsed/>
    <w:rsid w:val="005E5305"/>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5"/>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BB4CF4"/>
    <w:rPr>
      <w:rFonts w:asciiTheme="majorHAnsi" w:eastAsiaTheme="majorEastAsia" w:hAnsiTheme="majorHAnsi" w:cstheme="majorBidi"/>
      <w:i/>
      <w:color w:val="7F7F7F" w:themeColor="text1" w:themeTint="80"/>
      <w:sz w:val="20"/>
      <w:szCs w:val="21"/>
      <w:lang w:eastAsia="en-AU"/>
    </w:rPr>
  </w:style>
  <w:style w:type="paragraph" w:customStyle="1" w:styleId="BasicParagraph">
    <w:name w:val="[Basic Paragraph]"/>
    <w:basedOn w:val="Normal"/>
    <w:uiPriority w:val="99"/>
    <w:rsid w:val="00A74F6C"/>
    <w:pPr>
      <w:autoSpaceDE w:val="0"/>
      <w:autoSpaceDN w:val="0"/>
      <w:adjustRightInd w:val="0"/>
      <w:spacing w:line="288" w:lineRule="auto"/>
      <w:textAlignment w:val="center"/>
    </w:pPr>
    <w:rPr>
      <w:rFonts w:ascii="MinionPro-Regular" w:hAnsi="MinionPro-Regular" w:cs="MinionPro-Regular"/>
      <w:color w:val="000000"/>
      <w:szCs w:val="24"/>
      <w:lang w:val="en-US" w:eastAsia="en-US"/>
    </w:rPr>
  </w:style>
  <w:style w:type="paragraph" w:customStyle="1" w:styleId="Heading1a">
    <w:name w:val="Heading 1a"/>
    <w:rsid w:val="00D056EC"/>
    <w:pPr>
      <w:numPr>
        <w:numId w:val="8"/>
      </w:numPr>
      <w:tabs>
        <w:tab w:val="left" w:pos="709"/>
      </w:tabs>
      <w:spacing w:before="120" w:after="240" w:line="240" w:lineRule="auto"/>
      <w:ind w:hanging="720"/>
    </w:pPr>
    <w:rPr>
      <w:rFonts w:asciiTheme="majorHAnsi" w:eastAsiaTheme="majorEastAsia" w:hAnsiTheme="majorHAnsi" w:cs="Calibri"/>
      <w:b/>
      <w:bCs/>
      <w:caps/>
      <w:color w:val="482D8C"/>
      <w:spacing w:val="-20"/>
      <w:kern w:val="36"/>
      <w:sz w:val="32"/>
      <w:szCs w:val="48"/>
      <w:lang w:eastAsia="en-AU"/>
    </w:rPr>
  </w:style>
  <w:style w:type="paragraph" w:styleId="NormalWeb">
    <w:name w:val="Normal (Web)"/>
    <w:basedOn w:val="Normal"/>
    <w:uiPriority w:val="99"/>
    <w:unhideWhenUsed/>
    <w:rsid w:val="000624B8"/>
    <w:pPr>
      <w:spacing w:before="100" w:beforeAutospacing="1" w:after="100" w:afterAutospacing="1"/>
      <w:ind w:left="0"/>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0624B8"/>
    <w:rPr>
      <w:color w:val="605E5C"/>
      <w:shd w:val="clear" w:color="auto" w:fill="E1DFDD"/>
    </w:rPr>
  </w:style>
  <w:style w:type="paragraph" w:customStyle="1" w:styleId="Default">
    <w:name w:val="Default"/>
    <w:rsid w:val="00DA2D35"/>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FollowedHyperlink">
    <w:name w:val="FollowedHyperlink"/>
    <w:basedOn w:val="DefaultParagraphFont"/>
    <w:uiPriority w:val="99"/>
    <w:semiHidden/>
    <w:unhideWhenUsed/>
    <w:rsid w:val="00966C06"/>
    <w:rPr>
      <w:color w:val="7F7F7F" w:themeColor="followedHyperlink"/>
      <w:u w:val="single"/>
    </w:rPr>
  </w:style>
  <w:style w:type="paragraph" w:styleId="Revision">
    <w:name w:val="Revision"/>
    <w:hidden/>
    <w:uiPriority w:val="99"/>
    <w:semiHidden/>
    <w:rsid w:val="00C532AD"/>
    <w:pPr>
      <w:spacing w:after="0" w:line="240" w:lineRule="auto"/>
    </w:pPr>
    <w:rPr>
      <w:rFonts w:ascii="Calibri" w:hAnsi="Calibri" w:cs="Times New Roman"/>
      <w:sz w:val="24"/>
      <w:szCs w:val="21"/>
      <w:lang w:eastAsia="en-AU"/>
    </w:rPr>
  </w:style>
  <w:style w:type="character" w:styleId="CommentReference">
    <w:name w:val="annotation reference"/>
    <w:basedOn w:val="DefaultParagraphFont"/>
    <w:uiPriority w:val="99"/>
    <w:semiHidden/>
    <w:unhideWhenUsed/>
    <w:rsid w:val="00FA449D"/>
    <w:rPr>
      <w:sz w:val="16"/>
      <w:szCs w:val="16"/>
    </w:rPr>
  </w:style>
  <w:style w:type="paragraph" w:styleId="CommentText">
    <w:name w:val="annotation text"/>
    <w:basedOn w:val="Normal"/>
    <w:link w:val="CommentTextChar"/>
    <w:uiPriority w:val="99"/>
    <w:unhideWhenUsed/>
    <w:rsid w:val="00FA449D"/>
    <w:rPr>
      <w:sz w:val="20"/>
      <w:szCs w:val="20"/>
    </w:rPr>
  </w:style>
  <w:style w:type="character" w:customStyle="1" w:styleId="CommentTextChar">
    <w:name w:val="Comment Text Char"/>
    <w:basedOn w:val="DefaultParagraphFont"/>
    <w:link w:val="CommentText"/>
    <w:uiPriority w:val="99"/>
    <w:rsid w:val="00FA449D"/>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449D"/>
    <w:rPr>
      <w:b/>
      <w:bCs/>
    </w:rPr>
  </w:style>
  <w:style w:type="character" w:customStyle="1" w:styleId="CommentSubjectChar">
    <w:name w:val="Comment Subject Char"/>
    <w:basedOn w:val="CommentTextChar"/>
    <w:link w:val="CommentSubject"/>
    <w:uiPriority w:val="99"/>
    <w:semiHidden/>
    <w:rsid w:val="00FA449D"/>
    <w:rPr>
      <w:rFonts w:ascii="Calibri" w:hAnsi="Calibri" w:cs="Times New Roman"/>
      <w:b/>
      <w:bCs/>
      <w:sz w:val="20"/>
      <w:szCs w:val="20"/>
      <w:lang w:eastAsia="en-AU"/>
    </w:rPr>
  </w:style>
  <w:style w:type="paragraph" w:customStyle="1" w:styleId="IntroParagraph">
    <w:name w:val="Intro Paragraph"/>
    <w:basedOn w:val="Normal"/>
    <w:link w:val="IntroParagraphChar"/>
    <w:qFormat/>
    <w:rsid w:val="00A76817"/>
    <w:pPr>
      <w:spacing w:before="300" w:after="300" w:line="276" w:lineRule="auto"/>
    </w:pPr>
    <w:rPr>
      <w:rFonts w:eastAsia="Times New Roman"/>
      <w:color w:val="7030A0"/>
      <w:sz w:val="26"/>
      <w:szCs w:val="20"/>
    </w:rPr>
  </w:style>
  <w:style w:type="character" w:customStyle="1" w:styleId="IntroParagraphChar">
    <w:name w:val="Intro Paragraph Char"/>
    <w:basedOn w:val="BodyTextChar"/>
    <w:link w:val="IntroParagraph"/>
    <w:rsid w:val="00A76817"/>
    <w:rPr>
      <w:rFonts w:ascii="Calibri" w:eastAsia="Times New Roman" w:hAnsi="Calibri" w:cs="Times New Roman"/>
      <w:color w:val="7030A0"/>
      <w:sz w:val="26"/>
      <w:szCs w:val="20"/>
      <w:lang w:eastAsia="en-AU"/>
    </w:rPr>
  </w:style>
  <w:style w:type="character" w:styleId="PageNumber">
    <w:name w:val="page number"/>
    <w:basedOn w:val="DefaultParagraphFont"/>
    <w:uiPriority w:val="99"/>
    <w:semiHidden/>
    <w:unhideWhenUsed/>
    <w:rsid w:val="00484DBF"/>
  </w:style>
  <w:style w:type="paragraph" w:customStyle="1" w:styleId="Directoratename">
    <w:name w:val="Directorate name"/>
    <w:basedOn w:val="Normal"/>
    <w:qFormat/>
    <w:rsid w:val="00484DBF"/>
    <w:pPr>
      <w:spacing w:before="200" w:after="200" w:line="276" w:lineRule="auto"/>
      <w:ind w:left="0"/>
    </w:pPr>
    <w:rPr>
      <w:rFonts w:eastAsia="Times New Roman"/>
      <w:b/>
      <w:bCs/>
      <w:color w:val="7030A0"/>
      <w:sz w:val="28"/>
      <w:szCs w:val="28"/>
      <w:lang w:eastAsia="en-US"/>
    </w:rPr>
  </w:style>
  <w:style w:type="paragraph" w:customStyle="1" w:styleId="Example">
    <w:name w:val="Example"/>
    <w:basedOn w:val="Normal"/>
    <w:qFormat/>
    <w:rsid w:val="00D056EC"/>
    <w:pPr>
      <w:jc w:val="both"/>
    </w:pPr>
    <w:rPr>
      <w:rFonts w:cs="Calibri"/>
      <w:color w:val="808080" w:themeColor="background1" w:themeShade="80"/>
      <w:szCs w:val="24"/>
      <w:lang w:val="en-US"/>
    </w:rPr>
  </w:style>
  <w:style w:type="paragraph" w:customStyle="1" w:styleId="bullet20">
    <w:name w:val="bullet 2"/>
    <w:basedOn w:val="Bullet1"/>
    <w:link w:val="bullet2Char0"/>
    <w:qFormat/>
    <w:rsid w:val="003E35E1"/>
    <w:pPr>
      <w:numPr>
        <w:numId w:val="15"/>
      </w:numPr>
      <w:spacing w:before="30" w:after="30" w:line="276" w:lineRule="auto"/>
      <w:ind w:left="1491" w:hanging="357"/>
    </w:pPr>
  </w:style>
  <w:style w:type="character" w:customStyle="1" w:styleId="Heading6Char">
    <w:name w:val="Heading 6 Char"/>
    <w:basedOn w:val="DefaultParagraphFont"/>
    <w:link w:val="Heading6"/>
    <w:uiPriority w:val="9"/>
    <w:semiHidden/>
    <w:rsid w:val="00DD690B"/>
    <w:rPr>
      <w:rFonts w:asciiTheme="majorHAnsi" w:eastAsiaTheme="majorEastAsia" w:hAnsiTheme="majorHAnsi" w:cstheme="majorBidi"/>
      <w:color w:val="181818" w:themeColor="accent1" w:themeShade="7F"/>
      <w:szCs w:val="21"/>
      <w:lang w:eastAsia="en-AU"/>
    </w:rPr>
  </w:style>
  <w:style w:type="character" w:customStyle="1" w:styleId="Heading7Char">
    <w:name w:val="Heading 7 Char"/>
    <w:basedOn w:val="DefaultParagraphFont"/>
    <w:link w:val="Heading7"/>
    <w:uiPriority w:val="9"/>
    <w:semiHidden/>
    <w:rsid w:val="00DD690B"/>
    <w:rPr>
      <w:rFonts w:asciiTheme="majorHAnsi" w:eastAsiaTheme="majorEastAsia" w:hAnsiTheme="majorHAnsi" w:cstheme="majorBidi"/>
      <w:i/>
      <w:iCs/>
      <w:color w:val="181818" w:themeColor="accent1" w:themeShade="7F"/>
      <w:szCs w:val="21"/>
      <w:lang w:eastAsia="en-AU"/>
    </w:rPr>
  </w:style>
  <w:style w:type="character" w:customStyle="1" w:styleId="Heading8Char">
    <w:name w:val="Heading 8 Char"/>
    <w:basedOn w:val="DefaultParagraphFont"/>
    <w:link w:val="Heading8"/>
    <w:uiPriority w:val="9"/>
    <w:semiHidden/>
    <w:rsid w:val="00DD690B"/>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DD690B"/>
    <w:rPr>
      <w:rFonts w:asciiTheme="majorHAnsi" w:eastAsiaTheme="majorEastAsia" w:hAnsiTheme="majorHAnsi" w:cstheme="majorBidi"/>
      <w:i/>
      <w:iCs/>
      <w:color w:val="272727" w:themeColor="text1" w:themeTint="D8"/>
      <w:sz w:val="21"/>
      <w:szCs w:val="21"/>
      <w:lang w:eastAsia="en-AU"/>
    </w:rPr>
  </w:style>
  <w:style w:type="numbering" w:customStyle="1" w:styleId="CurrentList1">
    <w:name w:val="Current List1"/>
    <w:uiPriority w:val="99"/>
    <w:rsid w:val="003E35E1"/>
    <w:pPr>
      <w:numPr>
        <w:numId w:val="13"/>
      </w:numPr>
    </w:pPr>
  </w:style>
  <w:style w:type="numbering" w:customStyle="1" w:styleId="CurrentList2">
    <w:name w:val="Current List2"/>
    <w:uiPriority w:val="99"/>
    <w:rsid w:val="003E35E1"/>
    <w:pPr>
      <w:numPr>
        <w:numId w:val="14"/>
      </w:numPr>
    </w:pPr>
  </w:style>
  <w:style w:type="character" w:customStyle="1" w:styleId="bullet2Char0">
    <w:name w:val="bullet 2 Char"/>
    <w:basedOn w:val="Bullet1Char"/>
    <w:link w:val="bullet20"/>
    <w:rsid w:val="003E35E1"/>
    <w:rPr>
      <w:rFonts w:ascii="Calibri" w:eastAsia="Times New Roman" w:hAnsi="Calibri" w:cs="Times New Roman"/>
      <w:szCs w:val="20"/>
    </w:rPr>
  </w:style>
  <w:style w:type="numbering" w:customStyle="1" w:styleId="KCBullets">
    <w:name w:val="KC Bullets"/>
    <w:uiPriority w:val="99"/>
    <w:rsid w:val="003E35E1"/>
    <w:pPr>
      <w:numPr>
        <w:numId w:val="16"/>
      </w:numPr>
    </w:pPr>
  </w:style>
  <w:style w:type="paragraph" w:customStyle="1" w:styleId="bulletalpha">
    <w:name w:val="bullet alpha"/>
    <w:basedOn w:val="Bullet1"/>
    <w:qFormat/>
    <w:rsid w:val="00BB4CF4"/>
    <w:pPr>
      <w:numPr>
        <w:numId w:val="20"/>
      </w:numPr>
      <w:spacing w:before="60" w:line="276" w:lineRule="auto"/>
      <w:ind w:left="1066" w:hanging="357"/>
    </w:pPr>
    <w:rPr>
      <w:szCs w:val="22"/>
      <w:lang w:val="en"/>
    </w:rPr>
  </w:style>
  <w:style w:type="numbering" w:customStyle="1" w:styleId="CurrentList3">
    <w:name w:val="Current List3"/>
    <w:uiPriority w:val="99"/>
    <w:rsid w:val="00BB4CF4"/>
    <w:pPr>
      <w:numPr>
        <w:numId w:val="18"/>
      </w:numPr>
    </w:pPr>
  </w:style>
  <w:style w:type="numbering" w:customStyle="1" w:styleId="CurrentList4">
    <w:name w:val="Current List4"/>
    <w:uiPriority w:val="99"/>
    <w:rsid w:val="00BB4CF4"/>
    <w:pPr>
      <w:numPr>
        <w:numId w:val="19"/>
      </w:numPr>
    </w:pPr>
  </w:style>
  <w:style w:type="paragraph" w:customStyle="1" w:styleId="TableheadingNormal">
    <w:name w:val="Table_heading_Normal"/>
    <w:basedOn w:val="TableFiguresheading"/>
    <w:qFormat/>
    <w:rsid w:val="00BB4CF4"/>
    <w:pPr>
      <w:spacing w:before="60" w:after="60"/>
      <w:ind w:left="0"/>
      <w:jc w:val="left"/>
    </w:pPr>
    <w:rPr>
      <w:b w:val="0"/>
      <w:bCs/>
      <w:sz w:val="22"/>
      <w:szCs w:val="22"/>
      <w:lang w:eastAsia="en-AU"/>
    </w:rPr>
  </w:style>
  <w:style w:type="paragraph" w:customStyle="1" w:styleId="OpeningParagraph">
    <w:name w:val="Opening Paragraph"/>
    <w:basedOn w:val="IntroParagraph"/>
    <w:qFormat/>
    <w:rsid w:val="008501F0"/>
    <w:pPr>
      <w:spacing w:before="0" w:after="0"/>
      <w:ind w:left="0"/>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act.gov.au/skills/skilled-to-succeed/act-skills-action-plan" TargetMode="External"/><Relationship Id="rId26" Type="http://schemas.openxmlformats.org/officeDocument/2006/relationships/hyperlink" Target="https://skills.sa.gov.au/national-vet-completions" TargetMode="External"/><Relationship Id="rId39" Type="http://schemas.openxmlformats.org/officeDocument/2006/relationships/fontTable" Target="fontTable.xml"/><Relationship Id="rId21" Type="http://schemas.openxmlformats.org/officeDocument/2006/relationships/hyperlink" Target="https://www.closingthegap.gov.au/national-agreement"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hyperlink" Target="https://federalfinancialrelations.gov.au/sites/federalfinancialrelations.gov.au/files/2025-10/ACT%20-%20Improved%20Completions%20-%20Implementation%20Plan.pdf" TargetMode="External"/><Relationship Id="rId25" Type="http://schemas.openxmlformats.org/officeDocument/2006/relationships/hyperlink" Target="https://www.act.gov.au/skills/students/australian-apprenticeships/eligible-visa-holders" TargetMode="External"/><Relationship Id="rId33" Type="http://schemas.openxmlformats.org/officeDocument/2006/relationships/hyperlink" Target="mailto:economicdevelopmentgrants@act.gov.au"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ct.gov.au/open/cbr2030-acts-strategic-economic-development-framework" TargetMode="External"/><Relationship Id="rId29" Type="http://schemas.openxmlformats.org/officeDocument/2006/relationships/hyperlink" Target="http://help.smartygrants.com.au/display/help/Help+Guide+for+Applic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kills.sa.gov.au/national-vet-completions" TargetMode="External"/><Relationship Id="rId32" Type="http://schemas.openxmlformats.org/officeDocument/2006/relationships/hyperlink" Target="mailto:skills.projects@act.gov.au"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federalfinancialrelations.gov.au/sites/federalfinancialrelations.gov.au/files/2025-10/ACT%20-%20Improved%20Completions%20-%20Implementation%20Plan.pdf" TargetMode="External"/><Relationship Id="rId28" Type="http://schemas.openxmlformats.org/officeDocument/2006/relationships/hyperlink" Target="https://CMTEDD.smartygrants.com.au/2026VETCompletionsGra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ct.gov.au/skills/skilled-to-succeed" TargetMode="External"/><Relationship Id="rId31" Type="http://schemas.openxmlformats.org/officeDocument/2006/relationships/hyperlink" Target="mailto:economicdevelopmentgrants@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ct.gov.au/__data/assets/pdf_file/0008/2381138/ACT-Aboriginal-and-Torres-Strait-Islander-Agreement-2019-2028.pdf" TargetMode="External"/><Relationship Id="rId27" Type="http://schemas.openxmlformats.org/officeDocument/2006/relationships/hyperlink" Target="mailto:skills.projects@act.gov.au" TargetMode="External"/><Relationship Id="rId30" Type="http://schemas.openxmlformats.org/officeDocument/2006/relationships/hyperlink" Target="mailto:skills.projects@act.gov.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BF46962B042546833E5A6D889BA6E5" ma:contentTypeVersion="19" ma:contentTypeDescription="Create a new document." ma:contentTypeScope="" ma:versionID="00e7ce544dacb2378fad88d45c42d300">
  <xsd:schema xmlns:xsd="http://www.w3.org/2001/XMLSchema" xmlns:xs="http://www.w3.org/2001/XMLSchema" xmlns:p="http://schemas.microsoft.com/office/2006/metadata/properties" xmlns:ns2="ae52181e-45ba-4642-be37-6e2977a64dc7" xmlns:ns3="8e2dc320-7011-4074-b87a-b9707488b512" targetNamespace="http://schemas.microsoft.com/office/2006/metadata/properties" ma:root="true" ma:fieldsID="5d2b3b8387156cd3a6665cab14361e76" ns2:_="" ns3:_="">
    <xsd:import namespace="ae52181e-45ba-4642-be37-6e2977a64dc7"/>
    <xsd:import namespace="8e2dc320-7011-4074-b87a-b9707488b5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181e-45ba-4642-be37-6e2977a6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dc320-7011-4074-b87a-b9707488b5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25b2b4a-d305-4da1-bdb4-671084df261c}" ma:internalName="TaxCatchAll" ma:showField="CatchAllData" ma:web="8e2dc320-7011-4074-b87a-b9707488b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ae52181e-45ba-4642-be37-6e2977a64dc7" xsi:nil="true"/>
    <lcf76f155ced4ddcb4097134ff3c332f xmlns="ae52181e-45ba-4642-be37-6e2977a64dc7">
      <Terms xmlns="http://schemas.microsoft.com/office/infopath/2007/PartnerControls"/>
    </lcf76f155ced4ddcb4097134ff3c332f>
    <TaxCatchAll xmlns="8e2dc320-7011-4074-b87a-b9707488b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B8AD-154E-4B48-B508-F4D61432271D}">
  <ds:schemaRefs>
    <ds:schemaRef ds:uri="http://schemas.openxmlformats.org/officeDocument/2006/bibliography"/>
  </ds:schemaRefs>
</ds:datastoreItem>
</file>

<file path=customXml/itemProps2.xml><?xml version="1.0" encoding="utf-8"?>
<ds:datastoreItem xmlns:ds="http://schemas.openxmlformats.org/officeDocument/2006/customXml" ds:itemID="{1B62E1AF-4583-413D-8D3B-3776B440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181e-45ba-4642-be37-6e2977a64dc7"/>
    <ds:schemaRef ds:uri="8e2dc320-7011-4074-b87a-b9707488b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 ds:uri="ae52181e-45ba-4642-be37-6e2977a64dc7"/>
    <ds:schemaRef ds:uri="8e2dc320-7011-4074-b87a-b9707488b512"/>
  </ds:schemaRefs>
</ds:datastoreItem>
</file>

<file path=customXml/itemProps4.xml><?xml version="1.0" encoding="utf-8"?>
<ds:datastoreItem xmlns:ds="http://schemas.openxmlformats.org/officeDocument/2006/customXml" ds:itemID="{56B4A920-7F81-46E1-953D-E350C4A79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4146</Words>
  <Characters>25088</Characters>
  <Application>Microsoft Office Word</Application>
  <DocSecurity>4</DocSecurity>
  <Lines>1929</Lines>
  <Paragraphs>730</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28504</CharactersWithSpaces>
  <SharedDoc>false</SharedDoc>
  <HLinks>
    <vt:vector size="72" baseType="variant">
      <vt:variant>
        <vt:i4>8060955</vt:i4>
      </vt:variant>
      <vt:variant>
        <vt:i4>138</vt:i4>
      </vt:variant>
      <vt:variant>
        <vt:i4>0</vt:i4>
      </vt:variant>
      <vt:variant>
        <vt:i4>5</vt:i4>
      </vt:variant>
      <vt:variant>
        <vt:lpwstr>mailto:economicdevelopmentgrants@act.gov.au</vt:lpwstr>
      </vt:variant>
      <vt:variant>
        <vt:lpwstr/>
      </vt:variant>
      <vt:variant>
        <vt:i4>5701756</vt:i4>
      </vt:variant>
      <vt:variant>
        <vt:i4>135</vt:i4>
      </vt:variant>
      <vt:variant>
        <vt:i4>0</vt:i4>
      </vt:variant>
      <vt:variant>
        <vt:i4>5</vt:i4>
      </vt:variant>
      <vt:variant>
        <vt:lpwstr>mailto:skills.projects@act.gov.au</vt:lpwstr>
      </vt:variant>
      <vt:variant>
        <vt:lpwstr/>
      </vt:variant>
      <vt:variant>
        <vt:i4>8060955</vt:i4>
      </vt:variant>
      <vt:variant>
        <vt:i4>132</vt:i4>
      </vt:variant>
      <vt:variant>
        <vt:i4>0</vt:i4>
      </vt:variant>
      <vt:variant>
        <vt:i4>5</vt:i4>
      </vt:variant>
      <vt:variant>
        <vt:lpwstr>mailto:economicdevelopmentgrants@act.gov.au</vt:lpwstr>
      </vt:variant>
      <vt:variant>
        <vt:lpwstr/>
      </vt:variant>
      <vt:variant>
        <vt:i4>5701756</vt:i4>
      </vt:variant>
      <vt:variant>
        <vt:i4>129</vt:i4>
      </vt:variant>
      <vt:variant>
        <vt:i4>0</vt:i4>
      </vt:variant>
      <vt:variant>
        <vt:i4>5</vt:i4>
      </vt:variant>
      <vt:variant>
        <vt:lpwstr>mailto:skills.projects@act.gov.au</vt:lpwstr>
      </vt:variant>
      <vt:variant>
        <vt:lpwstr/>
      </vt:variant>
      <vt:variant>
        <vt:i4>3735612</vt:i4>
      </vt:variant>
      <vt:variant>
        <vt:i4>126</vt:i4>
      </vt:variant>
      <vt:variant>
        <vt:i4>0</vt:i4>
      </vt:variant>
      <vt:variant>
        <vt:i4>5</vt:i4>
      </vt:variant>
      <vt:variant>
        <vt:lpwstr>http://help.smartygrants.com.au/display/help/Help+Guide+for+Applicants</vt:lpwstr>
      </vt:variant>
      <vt:variant>
        <vt:lpwstr/>
      </vt:variant>
      <vt:variant>
        <vt:i4>8257569</vt:i4>
      </vt:variant>
      <vt:variant>
        <vt:i4>123</vt:i4>
      </vt:variant>
      <vt:variant>
        <vt:i4>0</vt:i4>
      </vt:variant>
      <vt:variant>
        <vt:i4>5</vt:i4>
      </vt:variant>
      <vt:variant>
        <vt:lpwstr>https://cmtedd.smartygrants.com.au/2026VETCompletionsGrants</vt:lpwstr>
      </vt:variant>
      <vt:variant>
        <vt:lpwstr/>
      </vt:variant>
      <vt:variant>
        <vt:i4>87</vt:i4>
      </vt:variant>
      <vt:variant>
        <vt:i4>120</vt:i4>
      </vt:variant>
      <vt:variant>
        <vt:i4>0</vt:i4>
      </vt:variant>
      <vt:variant>
        <vt:i4>5</vt:i4>
      </vt:variant>
      <vt:variant>
        <vt:lpwstr>https://skills.sa.gov.au/national-vet-completions</vt:lpwstr>
      </vt:variant>
      <vt:variant>
        <vt:lpwstr/>
      </vt:variant>
      <vt:variant>
        <vt:i4>5701756</vt:i4>
      </vt:variant>
      <vt:variant>
        <vt:i4>117</vt:i4>
      </vt:variant>
      <vt:variant>
        <vt:i4>0</vt:i4>
      </vt:variant>
      <vt:variant>
        <vt:i4>5</vt:i4>
      </vt:variant>
      <vt:variant>
        <vt:lpwstr>mailto:skills.projects@act.gov.au</vt:lpwstr>
      </vt:variant>
      <vt:variant>
        <vt:lpwstr/>
      </vt:variant>
      <vt:variant>
        <vt:i4>87</vt:i4>
      </vt:variant>
      <vt:variant>
        <vt:i4>114</vt:i4>
      </vt:variant>
      <vt:variant>
        <vt:i4>0</vt:i4>
      </vt:variant>
      <vt:variant>
        <vt:i4>5</vt:i4>
      </vt:variant>
      <vt:variant>
        <vt:lpwstr>https://skills.sa.gov.au/national-vet-completions</vt:lpwstr>
      </vt:variant>
      <vt:variant>
        <vt:lpwstr/>
      </vt:variant>
      <vt:variant>
        <vt:i4>87</vt:i4>
      </vt:variant>
      <vt:variant>
        <vt:i4>111</vt:i4>
      </vt:variant>
      <vt:variant>
        <vt:i4>0</vt:i4>
      </vt:variant>
      <vt:variant>
        <vt:i4>5</vt:i4>
      </vt:variant>
      <vt:variant>
        <vt:lpwstr>https://skills.sa.gov.au/national-vet-completions</vt:lpwstr>
      </vt:variant>
      <vt:variant>
        <vt:lpwstr/>
      </vt:variant>
      <vt:variant>
        <vt:i4>7471210</vt:i4>
      </vt:variant>
      <vt:variant>
        <vt:i4>108</vt:i4>
      </vt:variant>
      <vt:variant>
        <vt:i4>0</vt:i4>
      </vt:variant>
      <vt:variant>
        <vt:i4>5</vt:i4>
      </vt:variant>
      <vt:variant>
        <vt:lpwstr>https://federalfinancialrelations.gov.au/sites/federalfinancialrelations.gov.au/files/2025-10/ACT - Improved Completions - Implementation Plan.pdf</vt:lpwstr>
      </vt:variant>
      <vt:variant>
        <vt:lpwstr/>
      </vt:variant>
      <vt:variant>
        <vt:i4>3080294</vt:i4>
      </vt:variant>
      <vt:variant>
        <vt:i4>0</vt:i4>
      </vt:variant>
      <vt:variant>
        <vt:i4>0</vt:i4>
      </vt:variant>
      <vt:variant>
        <vt:i4>5</vt:i4>
      </vt:variant>
      <vt:variant>
        <vt:lpwstr>https://www.act.gov.au/skills/students/australian-apprenticeships/eligible-visa-holders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Publication template purple</dc:title>
  <dc:subject>Publication template purple</dc:subject>
  <dc:creator>Microsoft Office User</dc:creator>
  <cp:keywords>Guidelines</cp:keywords>
  <dc:description/>
  <cp:lastModifiedBy>Marshall, Brian</cp:lastModifiedBy>
  <cp:revision>2</cp:revision>
  <cp:lastPrinted>2019-10-18T11:38:00Z</cp:lastPrinted>
  <dcterms:created xsi:type="dcterms:W3CDTF">2026-04-20T22:34:00Z</dcterms:created>
  <dcterms:modified xsi:type="dcterms:W3CDTF">2026-04-20T22:34:00Z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690d47f2-2d0a-4515-b8de-e13c18f23c62_Enabled">
    <vt:lpwstr>true</vt:lpwstr>
  </property>
  <property fmtid="{D5CDD505-2E9C-101B-9397-08002B2CF9AE}" pid="6" name="MSIP_Label_690d47f2-2d0a-4515-b8de-e13c18f23c62_SetDate">
    <vt:lpwstr>2022-12-19T04:17:47Z</vt:lpwstr>
  </property>
  <property fmtid="{D5CDD505-2E9C-101B-9397-08002B2CF9AE}" pid="7" name="MSIP_Label_690d47f2-2d0a-4515-b8de-e13c18f23c62_Method">
    <vt:lpwstr>Privileged</vt:lpwstr>
  </property>
  <property fmtid="{D5CDD505-2E9C-101B-9397-08002B2CF9AE}" pid="8" name="MSIP_Label_690d47f2-2d0a-4515-b8de-e13c18f23c62_Name">
    <vt:lpwstr>OFFICIAL</vt:lpwstr>
  </property>
  <property fmtid="{D5CDD505-2E9C-101B-9397-08002B2CF9AE}" pid="9" name="MSIP_Label_690d47f2-2d0a-4515-b8de-e13c18f23c62_SiteId">
    <vt:lpwstr>b46c1908-0334-4236-b978-585ee88e4199</vt:lpwstr>
  </property>
  <property fmtid="{D5CDD505-2E9C-101B-9397-08002B2CF9AE}" pid="10" name="MSIP_Label_690d47f2-2d0a-4515-b8de-e13c18f23c62_ActionId">
    <vt:lpwstr>bffb01a5-d233-4679-9617-d2f8747962aa</vt:lpwstr>
  </property>
  <property fmtid="{D5CDD505-2E9C-101B-9397-08002B2CF9AE}" pid="11" name="MSIP_Label_690d47f2-2d0a-4515-b8de-e13c18f23c62_ContentBits">
    <vt:lpwstr>1</vt:lpwstr>
  </property>
  <property fmtid="{D5CDD505-2E9C-101B-9397-08002B2CF9AE}" pid="12" name="ContentTypeId">
    <vt:lpwstr>0x01010011BF46962B042546833E5A6D889BA6E5</vt:lpwstr>
  </property>
  <property fmtid="{D5CDD505-2E9C-101B-9397-08002B2CF9AE}" pid="13" name="MediaServiceImageTags">
    <vt:lpwstr/>
  </property>
</Properties>
</file>