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70687" w14:textId="7B6B50C7" w:rsidR="000175F1" w:rsidRPr="001A6CB5" w:rsidRDefault="000175F1" w:rsidP="006D24B7">
      <w:pPr>
        <w:spacing w:after="120" w:line="240" w:lineRule="auto"/>
        <w:outlineLvl w:val="1"/>
        <w:rPr>
          <w:rStyle w:val="Heading1Char"/>
          <w:color w:val="156082" w:themeColor="accent1"/>
          <w:lang w:eastAsia="en-AU"/>
        </w:rPr>
      </w:pPr>
      <w:r w:rsidRPr="000074F9">
        <w:rPr>
          <w:rStyle w:val="Heading1Char"/>
        </w:rPr>
        <w:t>[</w:t>
      </w:r>
      <w:r w:rsidRPr="001A6CB5">
        <w:rPr>
          <w:rStyle w:val="Heading1Char"/>
          <w:color w:val="156082" w:themeColor="accent1"/>
        </w:rPr>
        <w:t xml:space="preserve">School Name] </w:t>
      </w:r>
      <w:r w:rsidRPr="001A6CB5">
        <w:rPr>
          <w:rStyle w:val="Heading1Char"/>
          <w:color w:val="156082" w:themeColor="accent1"/>
          <w:lang w:eastAsia="en-AU"/>
        </w:rPr>
        <w:t xml:space="preserve">Board </w:t>
      </w:r>
      <w:r w:rsidR="007109E8">
        <w:rPr>
          <w:rStyle w:val="Heading1Char"/>
          <w:color w:val="156082" w:themeColor="accent1"/>
          <w:lang w:eastAsia="en-AU"/>
        </w:rPr>
        <w:t>Charter</w:t>
      </w:r>
    </w:p>
    <w:tbl>
      <w:tblPr>
        <w:tblStyle w:val="TableGrid"/>
        <w:tblW w:w="0" w:type="auto"/>
        <w:tblLook w:val="04A0" w:firstRow="1" w:lastRow="0" w:firstColumn="1" w:lastColumn="0" w:noHBand="0" w:noVBand="1"/>
      </w:tblPr>
      <w:tblGrid>
        <w:gridCol w:w="2263"/>
        <w:gridCol w:w="6753"/>
      </w:tblGrid>
      <w:tr w:rsidR="001A6CB5" w:rsidRPr="001A6CB5" w14:paraId="2BBA8059" w14:textId="361EB563" w:rsidTr="007109E8">
        <w:tc>
          <w:tcPr>
            <w:tcW w:w="2263" w:type="dxa"/>
            <w:shd w:val="clear" w:color="auto" w:fill="156082" w:themeFill="accent1"/>
          </w:tcPr>
          <w:p w14:paraId="1015B481" w14:textId="73E646AB" w:rsidR="002661D5" w:rsidRPr="001A6CB5" w:rsidRDefault="007109E8" w:rsidP="0059455F">
            <w:pPr>
              <w:pStyle w:val="Heading5"/>
              <w:spacing w:before="0" w:after="0"/>
              <w:rPr>
                <w:rFonts w:eastAsia="Times New Roman"/>
                <w:color w:val="FFFFFF" w:themeColor="background1"/>
                <w:sz w:val="24"/>
                <w:szCs w:val="24"/>
                <w:lang w:eastAsia="en-AU"/>
              </w:rPr>
            </w:pPr>
            <w:r>
              <w:rPr>
                <w:rFonts w:eastAsia="Times New Roman"/>
                <w:color w:val="FFFFFF" w:themeColor="background1"/>
                <w:sz w:val="24"/>
                <w:szCs w:val="24"/>
                <w:lang w:eastAsia="en-AU"/>
              </w:rPr>
              <w:t xml:space="preserve">Endorsement </w:t>
            </w:r>
            <w:r w:rsidR="002661D5" w:rsidRPr="001A6CB5">
              <w:rPr>
                <w:rFonts w:eastAsia="Times New Roman"/>
                <w:color w:val="FFFFFF" w:themeColor="background1"/>
                <w:sz w:val="24"/>
                <w:szCs w:val="24"/>
                <w:lang w:eastAsia="en-AU"/>
              </w:rPr>
              <w:t xml:space="preserve">Date: </w:t>
            </w:r>
          </w:p>
        </w:tc>
        <w:tc>
          <w:tcPr>
            <w:tcW w:w="6753" w:type="dxa"/>
          </w:tcPr>
          <w:p w14:paraId="53215BD3" w14:textId="2BE57BF4" w:rsidR="002661D5" w:rsidRPr="001A6CB5" w:rsidRDefault="001A6CB5" w:rsidP="0059455F">
            <w:pPr>
              <w:pStyle w:val="Heading5"/>
              <w:spacing w:before="0" w:after="0"/>
              <w:rPr>
                <w:rFonts w:eastAsia="Times New Roman"/>
                <w:color w:val="000000" w:themeColor="text1"/>
                <w:sz w:val="20"/>
                <w:szCs w:val="20"/>
                <w:lang w:eastAsia="en-AU"/>
              </w:rPr>
            </w:pPr>
            <w:r w:rsidRPr="001A6CB5">
              <w:rPr>
                <w:rFonts w:eastAsia="Times New Roman"/>
                <w:color w:val="000000" w:themeColor="text1"/>
                <w:sz w:val="20"/>
                <w:szCs w:val="20"/>
                <w:lang w:eastAsia="en-AU"/>
              </w:rPr>
              <w:t>[DD/MM/YYYY]</w:t>
            </w:r>
          </w:p>
        </w:tc>
      </w:tr>
      <w:tr w:rsidR="002661D5" w:rsidRPr="002661D5" w14:paraId="588948FD" w14:textId="41CC84B8" w:rsidTr="007109E8">
        <w:tc>
          <w:tcPr>
            <w:tcW w:w="2263" w:type="dxa"/>
            <w:shd w:val="clear" w:color="auto" w:fill="156082" w:themeFill="accent1"/>
          </w:tcPr>
          <w:p w14:paraId="2CDA94C0" w14:textId="77777777" w:rsidR="002661D5" w:rsidRPr="001A6CB5" w:rsidRDefault="002661D5" w:rsidP="0059455F">
            <w:pPr>
              <w:pStyle w:val="Heading5"/>
              <w:spacing w:before="0" w:after="0"/>
              <w:rPr>
                <w:rFonts w:eastAsia="Times New Roman"/>
                <w:color w:val="FFFFFF" w:themeColor="background1"/>
                <w:sz w:val="24"/>
                <w:szCs w:val="24"/>
                <w:lang w:eastAsia="en-AU"/>
              </w:rPr>
            </w:pPr>
            <w:r w:rsidRPr="001A6CB5">
              <w:rPr>
                <w:rFonts w:eastAsia="Times New Roman"/>
                <w:color w:val="FFFFFF" w:themeColor="background1"/>
                <w:sz w:val="24"/>
                <w:szCs w:val="24"/>
                <w:lang w:eastAsia="en-AU"/>
              </w:rPr>
              <w:t xml:space="preserve">Members: </w:t>
            </w:r>
          </w:p>
        </w:tc>
        <w:tc>
          <w:tcPr>
            <w:tcW w:w="6753" w:type="dxa"/>
          </w:tcPr>
          <w:p w14:paraId="5E0C633B" w14:textId="77777777" w:rsidR="002661D5" w:rsidRPr="001A6CB5" w:rsidRDefault="002661D5" w:rsidP="0059455F">
            <w:pPr>
              <w:pStyle w:val="Heading5"/>
              <w:spacing w:before="0" w:after="0"/>
              <w:rPr>
                <w:rFonts w:eastAsia="Times New Roman"/>
                <w:color w:val="000000" w:themeColor="text1"/>
                <w:sz w:val="24"/>
                <w:szCs w:val="24"/>
                <w:lang w:eastAsia="en-AU"/>
              </w:rPr>
            </w:pPr>
          </w:p>
        </w:tc>
      </w:tr>
    </w:tbl>
    <w:p w14:paraId="4A31A71A" w14:textId="5B484932" w:rsidR="002D6629" w:rsidRPr="002D6629" w:rsidRDefault="002D6629" w:rsidP="002D6629">
      <w:pPr>
        <w:spacing w:before="60" w:after="60" w:line="240" w:lineRule="auto"/>
        <w:rPr>
          <w:i/>
          <w:iCs/>
          <w:color w:val="FF0000"/>
        </w:rPr>
      </w:pPr>
    </w:p>
    <w:p w14:paraId="55992A77" w14:textId="4E09A351" w:rsidR="007109E8" w:rsidRDefault="007109E8" w:rsidP="00F13D49">
      <w:pPr>
        <w:pStyle w:val="Heading2"/>
        <w:numPr>
          <w:ilvl w:val="0"/>
          <w:numId w:val="10"/>
        </w:numPr>
        <w:ind w:left="0"/>
        <w:rPr>
          <w:lang w:eastAsia="en-AU"/>
        </w:rPr>
      </w:pPr>
      <w:r>
        <w:rPr>
          <w:lang w:eastAsia="en-AU"/>
        </w:rPr>
        <w:t>Context</w:t>
      </w:r>
    </w:p>
    <w:p w14:paraId="7FD7448E" w14:textId="132A4D10" w:rsidR="007109E8" w:rsidRDefault="0019267D" w:rsidP="00F13D49">
      <w:pPr>
        <w:pStyle w:val="ListParagraph"/>
        <w:numPr>
          <w:ilvl w:val="1"/>
          <w:numId w:val="10"/>
        </w:numPr>
        <w:rPr>
          <w:lang w:eastAsia="en-AU"/>
        </w:rPr>
      </w:pPr>
      <w:r>
        <w:rPr>
          <w:lang w:eastAsia="en-AU"/>
        </w:rPr>
        <w:t>The [</w:t>
      </w:r>
      <w:r w:rsidRPr="0019267D">
        <w:rPr>
          <w:highlight w:val="yellow"/>
          <w:lang w:eastAsia="en-AU"/>
        </w:rPr>
        <w:t>School Name</w:t>
      </w:r>
      <w:r>
        <w:rPr>
          <w:lang w:eastAsia="en-AU"/>
        </w:rPr>
        <w:t xml:space="preserve">] School Board is established by the </w:t>
      </w:r>
      <w:r w:rsidRPr="0019267D">
        <w:rPr>
          <w:i/>
          <w:iCs/>
          <w:lang w:eastAsia="en-AU"/>
        </w:rPr>
        <w:t>Education Act 2004</w:t>
      </w:r>
      <w:r>
        <w:rPr>
          <w:i/>
          <w:iCs/>
          <w:lang w:eastAsia="en-AU"/>
        </w:rPr>
        <w:t xml:space="preserve"> </w:t>
      </w:r>
      <w:r>
        <w:rPr>
          <w:lang w:eastAsia="en-AU"/>
        </w:rPr>
        <w:t>(the Act)</w:t>
      </w:r>
      <w:r>
        <w:rPr>
          <w:i/>
          <w:iCs/>
          <w:lang w:eastAsia="en-AU"/>
        </w:rPr>
        <w:t xml:space="preserve">. </w:t>
      </w:r>
      <w:r>
        <w:rPr>
          <w:lang w:eastAsia="en-AU"/>
        </w:rPr>
        <w:t xml:space="preserve">School boards are to operates in accordance with Part 3.4 of the Act and the School Board Handbooks and Code of Conduct and follow Directorate policies and requirements. </w:t>
      </w:r>
    </w:p>
    <w:p w14:paraId="01FCBA2E" w14:textId="20807C0A" w:rsidR="006722BC" w:rsidRDefault="006722BC" w:rsidP="00F13D49">
      <w:pPr>
        <w:pStyle w:val="Heading2"/>
        <w:numPr>
          <w:ilvl w:val="0"/>
          <w:numId w:val="10"/>
        </w:numPr>
        <w:ind w:left="0"/>
        <w:rPr>
          <w:lang w:eastAsia="en-AU"/>
        </w:rPr>
      </w:pPr>
      <w:r>
        <w:rPr>
          <w:lang w:eastAsia="en-AU"/>
        </w:rPr>
        <w:t>Functions</w:t>
      </w:r>
    </w:p>
    <w:p w14:paraId="01680172" w14:textId="2C6176FA" w:rsidR="006722BC" w:rsidRDefault="0019267D" w:rsidP="00F13D49">
      <w:pPr>
        <w:pStyle w:val="ListParagraph"/>
        <w:numPr>
          <w:ilvl w:val="1"/>
          <w:numId w:val="10"/>
        </w:numPr>
        <w:rPr>
          <w:lang w:eastAsia="en-AU"/>
        </w:rPr>
      </w:pPr>
      <w:r w:rsidRPr="0019267D">
        <w:rPr>
          <w:lang w:eastAsia="en-AU"/>
        </w:rPr>
        <w:t>A school board is to exercise the functions of a school board under section 39 of the Act</w:t>
      </w:r>
      <w:r>
        <w:rPr>
          <w:lang w:eastAsia="en-AU"/>
        </w:rPr>
        <w:t>,</w:t>
      </w:r>
      <w:r w:rsidRPr="0019267D">
        <w:rPr>
          <w:lang w:eastAsia="en-AU"/>
        </w:rPr>
        <w:t xml:space="preserve"> as required by the circumstances</w:t>
      </w:r>
      <w:r>
        <w:rPr>
          <w:lang w:eastAsia="en-AU"/>
        </w:rPr>
        <w:t xml:space="preserve"> and any </w:t>
      </w:r>
      <w:r w:rsidR="00C23C9E">
        <w:rPr>
          <w:lang w:eastAsia="en-AU"/>
        </w:rPr>
        <w:t>Directions given under the Act</w:t>
      </w:r>
      <w:r>
        <w:rPr>
          <w:lang w:eastAsia="en-AU"/>
        </w:rPr>
        <w:t>.</w:t>
      </w:r>
      <w:r w:rsidR="00C23C9E">
        <w:rPr>
          <w:lang w:eastAsia="en-AU"/>
        </w:rPr>
        <w:t xml:space="preserve"> These functions provide safeguarding to schools and support improved accountability, policy alignment, performance monitoring</w:t>
      </w:r>
      <w:r w:rsidR="006D344F">
        <w:rPr>
          <w:lang w:eastAsia="en-AU"/>
        </w:rPr>
        <w:t xml:space="preserve">, and relationships. </w:t>
      </w:r>
    </w:p>
    <w:p w14:paraId="77B985E5" w14:textId="6701E924" w:rsidR="00C23C9E" w:rsidRDefault="006D344F" w:rsidP="00F13D49">
      <w:pPr>
        <w:pStyle w:val="ListParagraph"/>
        <w:numPr>
          <w:ilvl w:val="1"/>
          <w:numId w:val="10"/>
        </w:numPr>
        <w:rPr>
          <w:lang w:eastAsia="en-AU"/>
        </w:rPr>
      </w:pPr>
      <w:r>
        <w:rPr>
          <w:lang w:eastAsia="en-AU"/>
        </w:rPr>
        <w:t>School boards should determine how to perform their functions in the current circumstances. School boards can play a valuable role in</w:t>
      </w:r>
      <w:r w:rsidR="00781005">
        <w:rPr>
          <w:lang w:eastAsia="en-AU"/>
        </w:rPr>
        <w:t xml:space="preserve"> monitoring and considering </w:t>
      </w:r>
      <w:r>
        <w:rPr>
          <w:lang w:eastAsia="en-AU"/>
        </w:rPr>
        <w:t>the school’s alignments with the related functions.</w:t>
      </w:r>
      <w:r w:rsidR="00781005">
        <w:rPr>
          <w:rStyle w:val="EndnoteReference"/>
          <w:lang w:eastAsia="en-AU"/>
        </w:rPr>
        <w:endnoteReference w:id="1"/>
      </w:r>
      <w:r w:rsidR="00C23C9E">
        <w:rPr>
          <w:lang w:eastAsia="en-AU"/>
        </w:rPr>
        <w:t xml:space="preserve"> </w:t>
      </w:r>
    </w:p>
    <w:p w14:paraId="17BA369D" w14:textId="2E9EE306" w:rsidR="007109E8" w:rsidRDefault="007109E8" w:rsidP="00F13D49">
      <w:pPr>
        <w:pStyle w:val="Heading2"/>
        <w:numPr>
          <w:ilvl w:val="0"/>
          <w:numId w:val="10"/>
        </w:numPr>
        <w:ind w:left="0"/>
        <w:rPr>
          <w:lang w:eastAsia="en-AU"/>
        </w:rPr>
      </w:pPr>
      <w:r>
        <w:rPr>
          <w:lang w:eastAsia="en-AU"/>
        </w:rPr>
        <w:t>Purpose</w:t>
      </w:r>
    </w:p>
    <w:p w14:paraId="0C6B17EB" w14:textId="6E6C2727" w:rsidR="007109E8" w:rsidRDefault="006722BC" w:rsidP="00F13D49">
      <w:pPr>
        <w:pStyle w:val="ListParagraph"/>
        <w:numPr>
          <w:ilvl w:val="1"/>
          <w:numId w:val="10"/>
        </w:numPr>
        <w:rPr>
          <w:lang w:eastAsia="en-AU"/>
        </w:rPr>
      </w:pPr>
      <w:r w:rsidRPr="00F13D49">
        <w:rPr>
          <w:lang w:eastAsia="en-AU"/>
        </w:rPr>
        <w:t>This Charter sets out the</w:t>
      </w:r>
      <w:r w:rsidR="00CE6440">
        <w:rPr>
          <w:lang w:eastAsia="en-AU"/>
        </w:rPr>
        <w:t xml:space="preserve"> way the </w:t>
      </w:r>
      <w:r w:rsidR="00A25024">
        <w:rPr>
          <w:lang w:eastAsia="en-AU"/>
        </w:rPr>
        <w:t>S</w:t>
      </w:r>
      <w:r w:rsidR="00CE6440">
        <w:rPr>
          <w:lang w:eastAsia="en-AU"/>
        </w:rPr>
        <w:t xml:space="preserve">chool </w:t>
      </w:r>
      <w:r w:rsidR="00A25024">
        <w:rPr>
          <w:lang w:eastAsia="en-AU"/>
        </w:rPr>
        <w:t>B</w:t>
      </w:r>
      <w:r w:rsidR="00CE6440">
        <w:rPr>
          <w:lang w:eastAsia="en-AU"/>
        </w:rPr>
        <w:t>oard will exercise its functions and the</w:t>
      </w:r>
      <w:r w:rsidRPr="00F13D49">
        <w:rPr>
          <w:lang w:eastAsia="en-AU"/>
        </w:rPr>
        <w:t xml:space="preserve"> principles</w:t>
      </w:r>
      <w:r w:rsidR="00CE6440">
        <w:rPr>
          <w:lang w:eastAsia="en-AU"/>
        </w:rPr>
        <w:t xml:space="preserve">, </w:t>
      </w:r>
      <w:r w:rsidRPr="00F13D49">
        <w:rPr>
          <w:lang w:eastAsia="en-AU"/>
        </w:rPr>
        <w:t>and behavioural expectations that guide members in performing their roles. It reinforces a shared commitment to ethical conduct, effective governance, and alignment with the ACT School Board Code of Conduct.</w:t>
      </w:r>
      <w:r w:rsidRPr="006722BC">
        <w:rPr>
          <w:lang w:eastAsia="en-AU"/>
        </w:rPr>
        <w:t> </w:t>
      </w:r>
    </w:p>
    <w:p w14:paraId="716A79D8" w14:textId="040C43DD" w:rsidR="006722BC" w:rsidRDefault="006722BC" w:rsidP="00F13D49">
      <w:pPr>
        <w:pStyle w:val="Heading2"/>
        <w:numPr>
          <w:ilvl w:val="0"/>
          <w:numId w:val="10"/>
        </w:numPr>
        <w:ind w:left="0"/>
        <w:rPr>
          <w:lang w:eastAsia="en-AU"/>
        </w:rPr>
      </w:pPr>
      <w:r>
        <w:rPr>
          <w:lang w:eastAsia="en-AU"/>
        </w:rPr>
        <w:t>Guiding Principles</w:t>
      </w:r>
    </w:p>
    <w:p w14:paraId="325CFD70" w14:textId="730C7DE0" w:rsidR="006722BC" w:rsidRDefault="006722BC" w:rsidP="00F13D49">
      <w:pPr>
        <w:pStyle w:val="ListParagraph"/>
        <w:numPr>
          <w:ilvl w:val="1"/>
          <w:numId w:val="10"/>
        </w:numPr>
        <w:rPr>
          <w:lang w:eastAsia="en-AU"/>
        </w:rPr>
      </w:pPr>
      <w:r w:rsidRPr="00F13D49">
        <w:rPr>
          <w:lang w:eastAsia="en-AU"/>
        </w:rPr>
        <w:t>School Board members commit to acting in the best interests of students and the school community; demonstrating integrity, honesty, and accountability; promoting equity, inclusion, and respect for diversity; supporting transparent and effective governance; and upholding public trust in ACT public education.</w:t>
      </w:r>
      <w:r w:rsidRPr="006722BC">
        <w:rPr>
          <w:lang w:eastAsia="en-AU"/>
        </w:rPr>
        <w:t> </w:t>
      </w:r>
    </w:p>
    <w:p w14:paraId="27786E1D" w14:textId="7BADE471" w:rsidR="007109E8" w:rsidRPr="00F13D49" w:rsidRDefault="006722BC" w:rsidP="00F13D49">
      <w:pPr>
        <w:pStyle w:val="Heading2"/>
        <w:numPr>
          <w:ilvl w:val="0"/>
          <w:numId w:val="10"/>
        </w:numPr>
        <w:ind w:left="0"/>
        <w:rPr>
          <w:lang w:eastAsia="en-AU"/>
        </w:rPr>
      </w:pPr>
      <w:r w:rsidRPr="00F13D49">
        <w:rPr>
          <w:lang w:val="en-US" w:eastAsia="en-AU"/>
        </w:rPr>
        <w:t>Expected Standards of Conduct</w:t>
      </w:r>
      <w:r w:rsidRPr="00F13D49">
        <w:rPr>
          <w:lang w:eastAsia="en-AU"/>
        </w:rPr>
        <w:t> </w:t>
      </w:r>
    </w:p>
    <w:p w14:paraId="7291DF66" w14:textId="2590B34E" w:rsidR="00F13D49" w:rsidRPr="00F13D49" w:rsidRDefault="00F13D49" w:rsidP="00F13D49">
      <w:pPr>
        <w:pStyle w:val="Heading3"/>
        <w:numPr>
          <w:ilvl w:val="1"/>
          <w:numId w:val="10"/>
        </w:numPr>
        <w:rPr>
          <w:lang w:eastAsia="en-AU"/>
        </w:rPr>
      </w:pPr>
      <w:r w:rsidRPr="00F13D49">
        <w:rPr>
          <w:lang w:val="en-US" w:eastAsia="en-AU"/>
        </w:rPr>
        <w:t>Integrity and Accountability</w:t>
      </w:r>
      <w:r w:rsidRPr="00F13D49">
        <w:rPr>
          <w:lang w:eastAsia="en-AU"/>
        </w:rPr>
        <w:t> </w:t>
      </w:r>
    </w:p>
    <w:p w14:paraId="613440DE" w14:textId="77777777" w:rsidR="00F13D49" w:rsidRPr="00F13D49" w:rsidRDefault="00F13D49" w:rsidP="004123CE">
      <w:pPr>
        <w:pStyle w:val="ListParagraph"/>
        <w:numPr>
          <w:ilvl w:val="2"/>
          <w:numId w:val="10"/>
        </w:numPr>
        <w:ind w:left="1276" w:hanging="567"/>
        <w:rPr>
          <w:lang w:eastAsia="en-AU"/>
        </w:rPr>
      </w:pPr>
      <w:r w:rsidRPr="00000D77">
        <w:rPr>
          <w:lang w:eastAsia="en-AU"/>
        </w:rPr>
        <w:t>Board members will act honestly and in good faith, declare and manage conflicts of interest, use their position responsibly, and be accountable for decisions and actions.</w:t>
      </w:r>
      <w:r w:rsidRPr="00F13D49">
        <w:rPr>
          <w:lang w:eastAsia="en-AU"/>
        </w:rPr>
        <w:t> </w:t>
      </w:r>
    </w:p>
    <w:p w14:paraId="2CA96562" w14:textId="3B3B6E69" w:rsidR="00F13D49" w:rsidRPr="00F13D49" w:rsidRDefault="00F13D49" w:rsidP="00F13D49">
      <w:pPr>
        <w:pStyle w:val="Heading3"/>
        <w:numPr>
          <w:ilvl w:val="1"/>
          <w:numId w:val="10"/>
        </w:numPr>
        <w:rPr>
          <w:lang w:eastAsia="en-AU"/>
        </w:rPr>
      </w:pPr>
      <w:r w:rsidRPr="00F13D49">
        <w:rPr>
          <w:lang w:val="en-US" w:eastAsia="en-AU"/>
        </w:rPr>
        <w:t>Respectful and Professional Behaviour</w:t>
      </w:r>
      <w:r w:rsidRPr="00F13D49">
        <w:rPr>
          <w:lang w:eastAsia="en-AU"/>
        </w:rPr>
        <w:t> </w:t>
      </w:r>
    </w:p>
    <w:p w14:paraId="79A3272E" w14:textId="55BE39B4" w:rsidR="00F13D49" w:rsidRDefault="00F13D49" w:rsidP="004123CE">
      <w:pPr>
        <w:pStyle w:val="ListParagraph"/>
        <w:numPr>
          <w:ilvl w:val="2"/>
          <w:numId w:val="10"/>
        </w:numPr>
        <w:ind w:left="1276" w:hanging="567"/>
        <w:rPr>
          <w:lang w:eastAsia="en-AU"/>
        </w:rPr>
      </w:pPr>
      <w:r w:rsidRPr="004123CE">
        <w:rPr>
          <w:lang w:eastAsia="en-AU"/>
        </w:rPr>
        <w:t>Board members will treat all individuals with respect, listen to diverse perspectives, and avoid bullying, discrimination,</w:t>
      </w:r>
      <w:r w:rsidR="006D344F">
        <w:rPr>
          <w:lang w:eastAsia="en-AU"/>
        </w:rPr>
        <w:t xml:space="preserve"> exclusion</w:t>
      </w:r>
      <w:r w:rsidRPr="004123CE">
        <w:rPr>
          <w:lang w:eastAsia="en-AU"/>
        </w:rPr>
        <w:t xml:space="preserve"> or harassment.</w:t>
      </w:r>
      <w:r w:rsidRPr="00F13D49">
        <w:rPr>
          <w:lang w:eastAsia="en-AU"/>
        </w:rPr>
        <w:t> </w:t>
      </w:r>
    </w:p>
    <w:p w14:paraId="4752B6FD" w14:textId="16280E11" w:rsidR="00781005" w:rsidRDefault="00781005" w:rsidP="00781005">
      <w:pPr>
        <w:pStyle w:val="ListParagraph"/>
        <w:ind w:left="1276"/>
        <w:rPr>
          <w:lang w:eastAsia="en-AU"/>
        </w:rPr>
      </w:pPr>
      <w:r>
        <w:rPr>
          <w:lang w:eastAsia="en-AU"/>
        </w:rPr>
        <w:t xml:space="preserve"> </w:t>
      </w:r>
    </w:p>
    <w:p w14:paraId="032313F7" w14:textId="4EBEB072" w:rsidR="00F13D49" w:rsidRPr="00F13D49" w:rsidRDefault="00F13D49" w:rsidP="00F13D49">
      <w:pPr>
        <w:pStyle w:val="Heading3"/>
        <w:numPr>
          <w:ilvl w:val="1"/>
          <w:numId w:val="10"/>
        </w:numPr>
        <w:rPr>
          <w:lang w:eastAsia="en-AU"/>
        </w:rPr>
      </w:pPr>
      <w:r w:rsidRPr="00F13D49">
        <w:rPr>
          <w:lang w:val="en-US" w:eastAsia="en-AU"/>
        </w:rPr>
        <w:t>Confidentiality and Information Use</w:t>
      </w:r>
      <w:r w:rsidRPr="00F13D49">
        <w:rPr>
          <w:lang w:eastAsia="en-AU"/>
        </w:rPr>
        <w:t> </w:t>
      </w:r>
    </w:p>
    <w:p w14:paraId="73C18EC5" w14:textId="4861DC47" w:rsidR="00F13D49" w:rsidRDefault="00F13D49" w:rsidP="004123CE">
      <w:pPr>
        <w:pStyle w:val="ListParagraph"/>
        <w:numPr>
          <w:ilvl w:val="2"/>
          <w:numId w:val="10"/>
        </w:numPr>
        <w:ind w:left="1276" w:hanging="567"/>
        <w:rPr>
          <w:lang w:eastAsia="en-AU"/>
        </w:rPr>
      </w:pPr>
      <w:r w:rsidRPr="004123CE">
        <w:rPr>
          <w:lang w:eastAsia="en-AU"/>
        </w:rPr>
        <w:t xml:space="preserve">Board members will respect confidentiality, disclose information </w:t>
      </w:r>
      <w:r w:rsidR="006D344F">
        <w:rPr>
          <w:lang w:eastAsia="en-AU"/>
        </w:rPr>
        <w:t>in accordance with the Code of Conduct</w:t>
      </w:r>
      <w:r w:rsidRPr="004123CE">
        <w:rPr>
          <w:lang w:eastAsia="en-AU"/>
        </w:rPr>
        <w:t>, and use information only for board purposes.</w:t>
      </w:r>
      <w:r w:rsidRPr="00F13D49">
        <w:rPr>
          <w:lang w:eastAsia="en-AU"/>
        </w:rPr>
        <w:t> </w:t>
      </w:r>
    </w:p>
    <w:p w14:paraId="638F0391" w14:textId="0483E913" w:rsidR="00F13D49" w:rsidRPr="00F13D49" w:rsidRDefault="00F13D49" w:rsidP="00F13D49">
      <w:pPr>
        <w:pStyle w:val="Heading3"/>
        <w:numPr>
          <w:ilvl w:val="1"/>
          <w:numId w:val="10"/>
        </w:numPr>
        <w:rPr>
          <w:lang w:eastAsia="en-AU"/>
        </w:rPr>
      </w:pPr>
      <w:r w:rsidRPr="00F13D49">
        <w:rPr>
          <w:lang w:val="en-US" w:eastAsia="en-AU"/>
        </w:rPr>
        <w:t>Collective Responsibility</w:t>
      </w:r>
      <w:r w:rsidRPr="00F13D49">
        <w:rPr>
          <w:lang w:eastAsia="en-AU"/>
        </w:rPr>
        <w:t> </w:t>
      </w:r>
    </w:p>
    <w:p w14:paraId="0088C718" w14:textId="4219934F" w:rsidR="00F13D49" w:rsidRPr="00F13D49" w:rsidRDefault="006D344F" w:rsidP="004123CE">
      <w:pPr>
        <w:pStyle w:val="ListParagraph"/>
        <w:numPr>
          <w:ilvl w:val="2"/>
          <w:numId w:val="10"/>
        </w:numPr>
        <w:ind w:left="1276" w:hanging="567"/>
        <w:rPr>
          <w:lang w:eastAsia="en-AU"/>
        </w:rPr>
      </w:pPr>
      <w:r>
        <w:rPr>
          <w:lang w:eastAsia="en-AU"/>
        </w:rPr>
        <w:t>The School Board will act and speak as one. The Act vests functions in the School Board as a</w:t>
      </w:r>
      <w:r w:rsidR="00781005">
        <w:rPr>
          <w:lang w:eastAsia="en-AU"/>
        </w:rPr>
        <w:t xml:space="preserve"> collective body.</w:t>
      </w:r>
      <w:r>
        <w:rPr>
          <w:lang w:eastAsia="en-AU"/>
        </w:rPr>
        <w:t xml:space="preserve"> </w:t>
      </w:r>
      <w:r w:rsidR="00F13D49" w:rsidRPr="004123CE">
        <w:rPr>
          <w:lang w:eastAsia="en-AU"/>
        </w:rPr>
        <w:t>Board members will support</w:t>
      </w:r>
      <w:r w:rsidR="00781005">
        <w:rPr>
          <w:lang w:eastAsia="en-AU"/>
        </w:rPr>
        <w:t xml:space="preserve"> and make</w:t>
      </w:r>
      <w:r w:rsidR="00F13D49" w:rsidRPr="004123CE">
        <w:rPr>
          <w:lang w:eastAsia="en-AU"/>
        </w:rPr>
        <w:t xml:space="preserve"> collective decisions, respect roles, and avoid speaking on behalf of the board without authority.</w:t>
      </w:r>
      <w:r w:rsidR="00F13D49" w:rsidRPr="00F13D49">
        <w:rPr>
          <w:lang w:eastAsia="en-AU"/>
        </w:rPr>
        <w:t> </w:t>
      </w:r>
    </w:p>
    <w:p w14:paraId="5796797E" w14:textId="6F4CE65D" w:rsidR="00F13D49" w:rsidRPr="00F13D49" w:rsidRDefault="00F13D49" w:rsidP="00F13D49">
      <w:pPr>
        <w:pStyle w:val="Heading3"/>
        <w:numPr>
          <w:ilvl w:val="1"/>
          <w:numId w:val="10"/>
        </w:numPr>
        <w:rPr>
          <w:lang w:eastAsia="en-AU"/>
        </w:rPr>
      </w:pPr>
      <w:r w:rsidRPr="00F13D49">
        <w:rPr>
          <w:lang w:val="en-US" w:eastAsia="en-AU"/>
        </w:rPr>
        <w:t>Governance and Role Clarity</w:t>
      </w:r>
      <w:r w:rsidRPr="00F13D49">
        <w:rPr>
          <w:lang w:eastAsia="en-AU"/>
        </w:rPr>
        <w:t> </w:t>
      </w:r>
    </w:p>
    <w:p w14:paraId="42BFABAB" w14:textId="77777777" w:rsidR="00F13D49" w:rsidRDefault="00F13D49" w:rsidP="004123CE">
      <w:pPr>
        <w:pStyle w:val="ListParagraph"/>
        <w:numPr>
          <w:ilvl w:val="2"/>
          <w:numId w:val="10"/>
        </w:numPr>
        <w:ind w:left="1276" w:hanging="567"/>
        <w:rPr>
          <w:lang w:eastAsia="en-AU"/>
        </w:rPr>
      </w:pPr>
      <w:r w:rsidRPr="004123CE">
        <w:rPr>
          <w:lang w:eastAsia="en-AU"/>
        </w:rPr>
        <w:t>Board members will focus on governance, respect the principal’s leadership role, and actively participate in meetings.</w:t>
      </w:r>
      <w:r w:rsidRPr="00F13D49">
        <w:rPr>
          <w:lang w:eastAsia="en-AU"/>
        </w:rPr>
        <w:t> </w:t>
      </w:r>
    </w:p>
    <w:p w14:paraId="7BC1FC19" w14:textId="0FAA13C5" w:rsidR="00781005" w:rsidRDefault="00781005" w:rsidP="004123CE">
      <w:pPr>
        <w:pStyle w:val="ListParagraph"/>
        <w:numPr>
          <w:ilvl w:val="2"/>
          <w:numId w:val="10"/>
        </w:numPr>
        <w:ind w:left="1276" w:hanging="567"/>
        <w:rPr>
          <w:lang w:eastAsia="en-AU"/>
        </w:rPr>
      </w:pPr>
      <w:r>
        <w:rPr>
          <w:lang w:eastAsia="en-AU"/>
        </w:rPr>
        <w:t xml:space="preserve">The School Board is responsible for working with the principal to ensure the </w:t>
      </w:r>
      <w:r w:rsidR="00645B51">
        <w:rPr>
          <w:lang w:eastAsia="en-AU"/>
        </w:rPr>
        <w:t>B</w:t>
      </w:r>
      <w:r>
        <w:rPr>
          <w:lang w:eastAsia="en-AU"/>
        </w:rPr>
        <w:t xml:space="preserve">oard functions effectively and efficiently. </w:t>
      </w:r>
    </w:p>
    <w:p w14:paraId="729D8FED" w14:textId="5AD12A54" w:rsidR="00781005" w:rsidRPr="00F13D49" w:rsidRDefault="00781005" w:rsidP="004123CE">
      <w:pPr>
        <w:pStyle w:val="ListParagraph"/>
        <w:numPr>
          <w:ilvl w:val="2"/>
          <w:numId w:val="10"/>
        </w:numPr>
        <w:ind w:left="1276" w:hanging="567"/>
        <w:rPr>
          <w:lang w:eastAsia="en-AU"/>
        </w:rPr>
      </w:pPr>
      <w:r>
        <w:rPr>
          <w:lang w:eastAsia="en-AU"/>
        </w:rPr>
        <w:t xml:space="preserve">The School Board will support the principal, for the benefit of the school, </w:t>
      </w:r>
      <w:r w:rsidR="00645B51">
        <w:rPr>
          <w:lang w:eastAsia="en-AU"/>
        </w:rPr>
        <w:t>through a productive and positive relationship that demonstrates trust, openness, and collaboration.</w:t>
      </w:r>
    </w:p>
    <w:p w14:paraId="4E29913E" w14:textId="331D8D44" w:rsidR="00F13D49" w:rsidRPr="00F13D49" w:rsidRDefault="00F13D49" w:rsidP="00F13D49">
      <w:pPr>
        <w:pStyle w:val="Heading3"/>
        <w:numPr>
          <w:ilvl w:val="0"/>
          <w:numId w:val="10"/>
        </w:numPr>
        <w:ind w:left="0"/>
        <w:rPr>
          <w:lang w:eastAsia="en-AU"/>
        </w:rPr>
      </w:pPr>
      <w:r w:rsidRPr="00F13D49">
        <w:rPr>
          <w:lang w:val="en-US" w:eastAsia="en-AU"/>
        </w:rPr>
        <w:t>Community Engagement</w:t>
      </w:r>
      <w:r w:rsidRPr="00F13D49">
        <w:rPr>
          <w:lang w:eastAsia="en-AU"/>
        </w:rPr>
        <w:t> </w:t>
      </w:r>
    </w:p>
    <w:p w14:paraId="2BB5D45C" w14:textId="77777777" w:rsidR="00F13D49" w:rsidRPr="00F13D49" w:rsidRDefault="00F13D49" w:rsidP="00F13D49">
      <w:pPr>
        <w:pStyle w:val="ListParagraph"/>
        <w:numPr>
          <w:ilvl w:val="1"/>
          <w:numId w:val="10"/>
        </w:numPr>
        <w:rPr>
          <w:lang w:eastAsia="en-AU"/>
        </w:rPr>
      </w:pPr>
      <w:r w:rsidRPr="00F13D49">
        <w:rPr>
          <w:lang w:val="en-US" w:eastAsia="en-AU"/>
        </w:rPr>
        <w:t>Board members will engage respectfully with the community and promote confidence in the school.</w:t>
      </w:r>
      <w:r w:rsidRPr="00F13D49">
        <w:rPr>
          <w:lang w:eastAsia="en-AU"/>
        </w:rPr>
        <w:t> </w:t>
      </w:r>
    </w:p>
    <w:p w14:paraId="79A0A948" w14:textId="273A6993" w:rsidR="00F13D49" w:rsidRPr="00F13D49" w:rsidRDefault="00F13D49" w:rsidP="00F13D49">
      <w:pPr>
        <w:pStyle w:val="Heading3"/>
        <w:numPr>
          <w:ilvl w:val="0"/>
          <w:numId w:val="10"/>
        </w:numPr>
        <w:ind w:left="0"/>
        <w:rPr>
          <w:lang w:eastAsia="en-AU"/>
        </w:rPr>
      </w:pPr>
      <w:r w:rsidRPr="00F13D49">
        <w:rPr>
          <w:lang w:val="en-US" w:eastAsia="en-AU"/>
        </w:rPr>
        <w:t>Commitment to</w:t>
      </w:r>
      <w:r w:rsidR="00645B51">
        <w:rPr>
          <w:lang w:val="en-US" w:eastAsia="en-AU"/>
        </w:rPr>
        <w:t xml:space="preserve"> Safety,</w:t>
      </w:r>
      <w:r w:rsidRPr="00F13D49">
        <w:rPr>
          <w:lang w:val="en-US" w:eastAsia="en-AU"/>
        </w:rPr>
        <w:t xml:space="preserve"> Inclusion and Cultural Respect</w:t>
      </w:r>
      <w:r w:rsidRPr="00F13D49">
        <w:rPr>
          <w:lang w:eastAsia="en-AU"/>
        </w:rPr>
        <w:t> </w:t>
      </w:r>
    </w:p>
    <w:p w14:paraId="238B2386" w14:textId="794CEB65" w:rsidR="00F13D49" w:rsidRPr="00F13D49" w:rsidRDefault="00F13D49" w:rsidP="00F13D49">
      <w:pPr>
        <w:pStyle w:val="ListParagraph"/>
        <w:numPr>
          <w:ilvl w:val="1"/>
          <w:numId w:val="10"/>
        </w:numPr>
        <w:rPr>
          <w:lang w:eastAsia="en-AU"/>
        </w:rPr>
      </w:pPr>
      <w:r w:rsidRPr="00F13D49">
        <w:rPr>
          <w:lang w:val="en-US" w:eastAsia="en-AU"/>
        </w:rPr>
        <w:t>Board members will support</w:t>
      </w:r>
      <w:r w:rsidR="00645B51">
        <w:rPr>
          <w:lang w:val="en-US" w:eastAsia="en-AU"/>
        </w:rPr>
        <w:t xml:space="preserve"> child safety</w:t>
      </w:r>
      <w:r w:rsidR="00C9296E">
        <w:rPr>
          <w:lang w:val="en-US" w:eastAsia="en-AU"/>
        </w:rPr>
        <w:t xml:space="preserve"> and </w:t>
      </w:r>
      <w:r w:rsidRPr="00F13D49">
        <w:rPr>
          <w:lang w:val="en-US" w:eastAsia="en-AU"/>
        </w:rPr>
        <w:t>inclusion, respect Aboriginal and Torres Strait Islander cultures, and value diversity.</w:t>
      </w:r>
      <w:r w:rsidRPr="00F13D49">
        <w:rPr>
          <w:lang w:eastAsia="en-AU"/>
        </w:rPr>
        <w:t> </w:t>
      </w:r>
    </w:p>
    <w:p w14:paraId="2BDE829B" w14:textId="36CA1563" w:rsidR="00F13D49" w:rsidRPr="00F13D49" w:rsidRDefault="00F13D49" w:rsidP="00F13D49">
      <w:pPr>
        <w:pStyle w:val="Heading3"/>
        <w:numPr>
          <w:ilvl w:val="0"/>
          <w:numId w:val="10"/>
        </w:numPr>
        <w:ind w:left="0"/>
        <w:rPr>
          <w:lang w:eastAsia="en-AU"/>
        </w:rPr>
      </w:pPr>
      <w:r w:rsidRPr="00F13D49">
        <w:rPr>
          <w:lang w:val="en-US" w:eastAsia="en-AU"/>
        </w:rPr>
        <w:t>Handling Concerns and Breaches</w:t>
      </w:r>
      <w:r w:rsidRPr="00F13D49">
        <w:rPr>
          <w:lang w:eastAsia="en-AU"/>
        </w:rPr>
        <w:t> </w:t>
      </w:r>
    </w:p>
    <w:p w14:paraId="12452D42" w14:textId="5FC50DBC" w:rsidR="00F13D49" w:rsidRPr="00F13D49" w:rsidRDefault="00F13D49" w:rsidP="00F13D49">
      <w:pPr>
        <w:pStyle w:val="ListParagraph"/>
        <w:numPr>
          <w:ilvl w:val="1"/>
          <w:numId w:val="10"/>
        </w:numPr>
        <w:rPr>
          <w:lang w:eastAsia="en-AU"/>
        </w:rPr>
      </w:pPr>
      <w:r w:rsidRPr="00F13D49">
        <w:rPr>
          <w:lang w:val="en-US" w:eastAsia="en-AU"/>
        </w:rPr>
        <w:t>Concerns will be raised respectfully and managed in line with ACT Education Directorate policies.</w:t>
      </w:r>
      <w:r w:rsidRPr="00F13D49">
        <w:rPr>
          <w:lang w:eastAsia="en-AU"/>
        </w:rPr>
        <w:t> </w:t>
      </w:r>
    </w:p>
    <w:p w14:paraId="02E5F241" w14:textId="3CE614AC" w:rsidR="00F13D49" w:rsidRPr="00F13D49" w:rsidRDefault="00F13D49" w:rsidP="00F13D49">
      <w:pPr>
        <w:pStyle w:val="Heading3"/>
        <w:numPr>
          <w:ilvl w:val="0"/>
          <w:numId w:val="10"/>
        </w:numPr>
        <w:ind w:left="0"/>
        <w:rPr>
          <w:lang w:eastAsia="en-AU"/>
        </w:rPr>
      </w:pPr>
      <w:r w:rsidRPr="00F13D49">
        <w:rPr>
          <w:lang w:val="en-US" w:eastAsia="en-AU"/>
        </w:rPr>
        <w:t>Continuous Improvement</w:t>
      </w:r>
      <w:r w:rsidRPr="00F13D49">
        <w:rPr>
          <w:lang w:eastAsia="en-AU"/>
        </w:rPr>
        <w:t> </w:t>
      </w:r>
    </w:p>
    <w:p w14:paraId="4A8B60B5" w14:textId="77777777" w:rsidR="00F13D49" w:rsidRPr="00F13D49" w:rsidRDefault="00F13D49" w:rsidP="004123CE">
      <w:pPr>
        <w:pStyle w:val="ListParagraph"/>
        <w:numPr>
          <w:ilvl w:val="1"/>
          <w:numId w:val="10"/>
        </w:numPr>
        <w:ind w:left="431" w:hanging="431"/>
        <w:rPr>
          <w:lang w:eastAsia="en-AU"/>
        </w:rPr>
      </w:pPr>
      <w:r w:rsidRPr="00F13D49">
        <w:rPr>
          <w:lang w:val="en-US" w:eastAsia="en-AU"/>
        </w:rPr>
        <w:t>Board members will participate in training, reflect on performance, and seek feedback to improve governance.</w:t>
      </w:r>
      <w:r w:rsidRPr="00F13D49">
        <w:rPr>
          <w:lang w:eastAsia="en-AU"/>
        </w:rPr>
        <w:t> </w:t>
      </w:r>
    </w:p>
    <w:p w14:paraId="6009E954" w14:textId="4C709FA7" w:rsidR="00F13D49" w:rsidRPr="00F13D49" w:rsidRDefault="00F13D49" w:rsidP="004123CE">
      <w:pPr>
        <w:pStyle w:val="Heading3"/>
        <w:numPr>
          <w:ilvl w:val="0"/>
          <w:numId w:val="10"/>
        </w:numPr>
        <w:ind w:left="97" w:hanging="454"/>
        <w:rPr>
          <w:lang w:eastAsia="en-AU"/>
        </w:rPr>
      </w:pPr>
      <w:r w:rsidRPr="00F13D49">
        <w:rPr>
          <w:lang w:val="en-US" w:eastAsia="en-AU"/>
        </w:rPr>
        <w:t xml:space="preserve"> Acknowledgement</w:t>
      </w:r>
      <w:r w:rsidRPr="00F13D49">
        <w:rPr>
          <w:lang w:eastAsia="en-AU"/>
        </w:rPr>
        <w:t> </w:t>
      </w:r>
    </w:p>
    <w:p w14:paraId="73128481" w14:textId="5A43011F" w:rsidR="007109E8" w:rsidRDefault="00F13D49" w:rsidP="00F13D49">
      <w:pPr>
        <w:pStyle w:val="ListParagraph"/>
        <w:numPr>
          <w:ilvl w:val="1"/>
          <w:numId w:val="10"/>
        </w:numPr>
        <w:ind w:left="510" w:hanging="510"/>
        <w:rPr>
          <w:lang w:eastAsia="en-AU"/>
        </w:rPr>
      </w:pPr>
      <w:r w:rsidRPr="00F13D49">
        <w:rPr>
          <w:lang w:val="en-US" w:eastAsia="en-AU"/>
        </w:rPr>
        <w:t>All members agree to uphold this Charter and the ACT School Board Code of Conduct.</w:t>
      </w:r>
      <w:r w:rsidRPr="00F13D49">
        <w:rPr>
          <w:lang w:eastAsia="en-AU"/>
        </w:rPr>
        <w:t> </w:t>
      </w:r>
    </w:p>
    <w:p w14:paraId="27A27A51" w14:textId="5E8C41DA" w:rsidR="00645B51" w:rsidRPr="00645B51" w:rsidRDefault="00645B51" w:rsidP="00645B51">
      <w:pPr>
        <w:spacing w:after="0"/>
        <w:rPr>
          <w:sz w:val="20"/>
          <w:szCs w:val="20"/>
          <w:lang w:eastAsia="en-AU"/>
        </w:rPr>
      </w:pPr>
      <w:r>
        <w:rPr>
          <w:rStyle w:val="Heading3Char"/>
          <w:sz w:val="20"/>
          <w:szCs w:val="20"/>
          <w:lang w:eastAsia="en-AU"/>
        </w:rPr>
        <w:br/>
      </w:r>
      <w:r w:rsidRPr="00645B51">
        <w:rPr>
          <w:rStyle w:val="Heading3Char"/>
          <w:sz w:val="24"/>
          <w:szCs w:val="24"/>
          <w:lang w:eastAsia="en-AU"/>
        </w:rPr>
        <w:t>Links</w:t>
      </w:r>
      <w:r w:rsidRPr="00645B51">
        <w:rPr>
          <w:sz w:val="20"/>
          <w:szCs w:val="20"/>
          <w:lang w:eastAsia="en-AU"/>
        </w:rPr>
        <w:br/>
      </w:r>
      <w:hyperlink r:id="rId8" w:history="1">
        <w:r w:rsidRPr="00645B51">
          <w:rPr>
            <w:rStyle w:val="Hyperlink"/>
            <w:sz w:val="20"/>
            <w:szCs w:val="20"/>
            <w:lang w:eastAsia="en-AU"/>
          </w:rPr>
          <w:t>School boards - ACT Government</w:t>
        </w:r>
      </w:hyperlink>
      <w:r w:rsidRPr="00645B51">
        <w:rPr>
          <w:sz w:val="20"/>
          <w:szCs w:val="20"/>
          <w:lang w:eastAsia="en-AU"/>
        </w:rPr>
        <w:br/>
      </w:r>
      <w:hyperlink r:id="rId9" w:history="1">
        <w:r w:rsidRPr="00645B51">
          <w:rPr>
            <w:rStyle w:val="Hyperlink"/>
            <w:sz w:val="20"/>
            <w:szCs w:val="20"/>
            <w:lang w:eastAsia="en-AU"/>
          </w:rPr>
          <w:t>School Board Code of Conduct</w:t>
        </w:r>
      </w:hyperlink>
    </w:p>
    <w:sectPr w:rsidR="00645B51" w:rsidRPr="00645B51" w:rsidSect="00645B51">
      <w:headerReference w:type="default" r:id="rId10"/>
      <w:footerReference w:type="default" r:id="rId11"/>
      <w:pgSz w:w="11906" w:h="16838"/>
      <w:pgMar w:top="1701" w:right="1440" w:bottom="709" w:left="1440" w:header="708" w:footer="2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FD165" w14:textId="77777777" w:rsidR="00110FB7" w:rsidRDefault="00110FB7" w:rsidP="000175F1">
      <w:pPr>
        <w:spacing w:after="0" w:line="240" w:lineRule="auto"/>
      </w:pPr>
      <w:r>
        <w:separator/>
      </w:r>
    </w:p>
  </w:endnote>
  <w:endnote w:type="continuationSeparator" w:id="0">
    <w:p w14:paraId="7E81303E" w14:textId="77777777" w:rsidR="00110FB7" w:rsidRDefault="00110FB7" w:rsidP="000175F1">
      <w:pPr>
        <w:spacing w:after="0" w:line="240" w:lineRule="auto"/>
      </w:pPr>
      <w:r>
        <w:continuationSeparator/>
      </w:r>
    </w:p>
  </w:endnote>
  <w:endnote w:id="1">
    <w:p w14:paraId="2272F46A" w14:textId="5C8152DE" w:rsidR="00781005" w:rsidRDefault="00781005">
      <w:pPr>
        <w:pStyle w:val="EndnoteText"/>
      </w:pPr>
      <w:r>
        <w:rPr>
          <w:rStyle w:val="EndnoteReference"/>
        </w:rPr>
        <w:endnoteRef/>
      </w:r>
      <w:r>
        <w:t xml:space="preserve"> </w:t>
      </w:r>
      <w:r>
        <w:rPr>
          <w:lang w:eastAsia="en-AU"/>
        </w:rPr>
        <w:t>For example, core education standards are set nationally and managed by states and Territories. The Act commenced prior to the Australian Curriculum (agreed by all Australian governments) and section 30 of the Act requires the Director-General to decide curriculum requirements. There is no requirement for school boards to develop curriculum as the Australian Curriculum applies in the ACT and how it is implemented is set out by Education Directorate policies and programs.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9218577"/>
      <w:docPartObj>
        <w:docPartGallery w:val="Page Numbers (Bottom of Page)"/>
        <w:docPartUnique/>
      </w:docPartObj>
    </w:sdtPr>
    <w:sdtEndPr>
      <w:rPr>
        <w:noProof/>
      </w:rPr>
    </w:sdtEndPr>
    <w:sdtContent>
      <w:p w14:paraId="4E1C942F" w14:textId="50691AC1" w:rsidR="007D535B" w:rsidRDefault="007D535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2674B7C" w14:textId="77777777" w:rsidR="004358AB" w:rsidRPr="00AE76CB" w:rsidRDefault="004358AB" w:rsidP="004358AB">
    <w:pPr>
      <w:pStyle w:val="Footer"/>
      <w:jc w:val="center"/>
      <w:rPr>
        <w:color w:val="FF0000"/>
      </w:rPr>
    </w:pPr>
    <w:r w:rsidRPr="00AE76CB">
      <w:rPr>
        <w:color w:val="FF0000"/>
      </w:rPr>
      <w:t>In Confidence</w:t>
    </w:r>
  </w:p>
  <w:p w14:paraId="2A9A91D7" w14:textId="77777777" w:rsidR="007D535B" w:rsidRDefault="007D53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E07C0" w14:textId="77777777" w:rsidR="00110FB7" w:rsidRDefault="00110FB7" w:rsidP="000175F1">
      <w:pPr>
        <w:spacing w:after="0" w:line="240" w:lineRule="auto"/>
      </w:pPr>
      <w:r>
        <w:separator/>
      </w:r>
    </w:p>
  </w:footnote>
  <w:footnote w:type="continuationSeparator" w:id="0">
    <w:p w14:paraId="225CD7B5" w14:textId="77777777" w:rsidR="00110FB7" w:rsidRDefault="00110FB7" w:rsidP="000175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2F11D" w14:textId="72D4136F" w:rsidR="000175F1" w:rsidRPr="001A6CB5" w:rsidRDefault="001A6CB5" w:rsidP="001A6CB5">
    <w:pPr>
      <w:spacing w:after="0" w:line="240" w:lineRule="auto"/>
      <w:outlineLvl w:val="0"/>
      <w:rPr>
        <w:rFonts w:ascii="Segoe UI" w:eastAsia="Times New Roman" w:hAnsi="Segoe UI" w:cs="Segoe UI"/>
        <w:b/>
        <w:bCs/>
        <w:kern w:val="36"/>
        <w:sz w:val="48"/>
        <w:szCs w:val="48"/>
        <w:lang w:eastAsia="en-AU"/>
        <w14:ligatures w14:val="none"/>
      </w:rPr>
    </w:pPr>
    <w:r>
      <w:rPr>
        <w:rFonts w:asciiTheme="majorHAnsi" w:eastAsiaTheme="majorEastAsia" w:hAnsiTheme="majorHAnsi" w:cstheme="majorBidi"/>
        <w:noProof/>
        <w:color w:val="0F4761" w:themeColor="accent1" w:themeShade="BF"/>
        <w:sz w:val="40"/>
        <w:szCs w:val="40"/>
        <w:lang w:eastAsia="en-AU"/>
      </w:rPr>
      <mc:AlternateContent>
        <mc:Choice Requires="wps">
          <w:drawing>
            <wp:anchor distT="0" distB="0" distL="114300" distR="114300" simplePos="0" relativeHeight="251661312" behindDoc="0" locked="0" layoutInCell="1" allowOverlap="1" wp14:anchorId="7509476F" wp14:editId="0BF7F37F">
              <wp:simplePos x="0" y="0"/>
              <wp:positionH relativeFrom="column">
                <wp:posOffset>-38100</wp:posOffset>
              </wp:positionH>
              <wp:positionV relativeFrom="paragraph">
                <wp:posOffset>8890</wp:posOffset>
              </wp:positionV>
              <wp:extent cx="914400" cy="342900"/>
              <wp:effectExtent l="0" t="0" r="6350" b="0"/>
              <wp:wrapNone/>
              <wp:docPr id="1185339798" name="Text Box 1"/>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ysClr val="window" lastClr="FFFFFF"/>
                      </a:solidFill>
                      <a:ln w="6350">
                        <a:noFill/>
                      </a:ln>
                    </wps:spPr>
                    <wps:txbx>
                      <w:txbxContent>
                        <w:p w14:paraId="1EF08752" w14:textId="77777777" w:rsidR="001A6CB5" w:rsidRDefault="001A6CB5" w:rsidP="001A6CB5">
                          <w:pPr>
                            <w:pStyle w:val="Header"/>
                          </w:pPr>
                          <w:r>
                            <w:t>[</w:t>
                          </w:r>
                          <w:r w:rsidRPr="00B42574">
                            <w:rPr>
                              <w:color w:val="FF0000"/>
                            </w:rPr>
                            <w:t>LOGO</w:t>
                          </w:r>
                          <w:r>
                            <w:t>]</w:t>
                          </w:r>
                        </w:p>
                        <w:p w14:paraId="0C8420D8" w14:textId="77777777" w:rsidR="001A6CB5" w:rsidRDefault="001A6CB5" w:rsidP="001A6CB5"/>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509476F" id="_x0000_t202" coordsize="21600,21600" o:spt="202" path="m,l,21600r21600,l21600,xe">
              <v:stroke joinstyle="miter"/>
              <v:path gradientshapeok="t" o:connecttype="rect"/>
            </v:shapetype>
            <v:shape id="Text Box 1" o:spid="_x0000_s1026" type="#_x0000_t202" style="position:absolute;margin-left:-3pt;margin-top:.7pt;width:1in;height:27pt;z-index:2516613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" fillcolor="window" stroked="f" strokeweight=".5pt">
              <v:textbox>
                <w:txbxContent>
                  <w:p w14:paraId="1EF08752" w14:textId="77777777" w:rsidR="001A6CB5" w:rsidRDefault="001A6CB5" w:rsidP="001A6CB5">
                    <w:pPr>
                      <w:pStyle w:val="Header"/>
                    </w:pPr>
                    <w:r>
                      <w:t>[</w:t>
                    </w:r>
                    <w:r w:rsidRPr="00B42574">
                      <w:rPr>
                        <w:color w:val="FF0000"/>
                      </w:rPr>
                      <w:t>LOGO</w:t>
                    </w:r>
                    <w:r>
                      <w:t>]</w:t>
                    </w:r>
                  </w:p>
                  <w:p w14:paraId="0C8420D8" w14:textId="77777777" w:rsidR="001A6CB5" w:rsidRDefault="001A6CB5" w:rsidP="001A6CB5"/>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229B2"/>
    <w:multiLevelType w:val="hybridMultilevel"/>
    <w:tmpl w:val="2E2235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623A49"/>
    <w:multiLevelType w:val="hybridMultilevel"/>
    <w:tmpl w:val="2138BA20"/>
    <w:lvl w:ilvl="0" w:tplc="F19A44F8">
      <w:start w:val="1"/>
      <w:numFmt w:val="bullet"/>
      <w:lvlText w:val=""/>
      <w:lvlJc w:val="left"/>
      <w:pPr>
        <w:ind w:left="360" w:hanging="360"/>
      </w:pPr>
      <w:rPr>
        <w:rFonts w:ascii="Symbol" w:hAnsi="Symbol" w:hint="default"/>
        <w:sz w:val="22"/>
        <w:szCs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10F0E48"/>
    <w:multiLevelType w:val="hybridMultilevel"/>
    <w:tmpl w:val="1C9870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E531E6"/>
    <w:multiLevelType w:val="hybridMultilevel"/>
    <w:tmpl w:val="BFC2F1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E4B383E"/>
    <w:multiLevelType w:val="hybridMultilevel"/>
    <w:tmpl w:val="2C4A84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75B6300"/>
    <w:multiLevelType w:val="multilevel"/>
    <w:tmpl w:val="0C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2AA25B9"/>
    <w:multiLevelType w:val="hybridMultilevel"/>
    <w:tmpl w:val="B85882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C064C9F"/>
    <w:multiLevelType w:val="hybridMultilevel"/>
    <w:tmpl w:val="F954B568"/>
    <w:lvl w:ilvl="0" w:tplc="DEBA1F0C">
      <w:start w:val="1"/>
      <w:numFmt w:val="bullet"/>
      <w:lvlText w:val=""/>
      <w:lvlJc w:val="left"/>
      <w:pPr>
        <w:ind w:left="360" w:hanging="360"/>
      </w:pPr>
      <w:rPr>
        <w:rFonts w:ascii="Symbol" w:hAnsi="Symbol" w:hint="default"/>
        <w:sz w:val="22"/>
        <w:szCs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50BF75B6"/>
    <w:multiLevelType w:val="hybridMultilevel"/>
    <w:tmpl w:val="22A0DD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65F11883"/>
    <w:multiLevelType w:val="hybridMultilevel"/>
    <w:tmpl w:val="1F6248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2042120945">
    <w:abstractNumId w:val="7"/>
  </w:num>
  <w:num w:numId="2" w16cid:durableId="1894582772">
    <w:abstractNumId w:val="1"/>
  </w:num>
  <w:num w:numId="3" w16cid:durableId="738403730">
    <w:abstractNumId w:val="3"/>
  </w:num>
  <w:num w:numId="4" w16cid:durableId="100926776">
    <w:abstractNumId w:val="9"/>
  </w:num>
  <w:num w:numId="5" w16cid:durableId="8263839">
    <w:abstractNumId w:val="4"/>
  </w:num>
  <w:num w:numId="6" w16cid:durableId="1168715225">
    <w:abstractNumId w:val="2"/>
  </w:num>
  <w:num w:numId="7" w16cid:durableId="745415596">
    <w:abstractNumId w:val="6"/>
  </w:num>
  <w:num w:numId="8" w16cid:durableId="1580794134">
    <w:abstractNumId w:val="8"/>
  </w:num>
  <w:num w:numId="9" w16cid:durableId="1499540122">
    <w:abstractNumId w:val="0"/>
  </w:num>
  <w:num w:numId="10" w16cid:durableId="567302207">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85B"/>
    <w:rsid w:val="00000D77"/>
    <w:rsid w:val="00015107"/>
    <w:rsid w:val="000175F1"/>
    <w:rsid w:val="00061386"/>
    <w:rsid w:val="00066139"/>
    <w:rsid w:val="00086710"/>
    <w:rsid w:val="0009185B"/>
    <w:rsid w:val="000A2534"/>
    <w:rsid w:val="000E178B"/>
    <w:rsid w:val="00110FB7"/>
    <w:rsid w:val="00121864"/>
    <w:rsid w:val="00145610"/>
    <w:rsid w:val="00167629"/>
    <w:rsid w:val="0019267D"/>
    <w:rsid w:val="001A5AEF"/>
    <w:rsid w:val="001A6CB5"/>
    <w:rsid w:val="002003BD"/>
    <w:rsid w:val="00225AD9"/>
    <w:rsid w:val="002661D5"/>
    <w:rsid w:val="002D6629"/>
    <w:rsid w:val="004123CE"/>
    <w:rsid w:val="0042376B"/>
    <w:rsid w:val="004358AB"/>
    <w:rsid w:val="0043799F"/>
    <w:rsid w:val="004661B1"/>
    <w:rsid w:val="004770FF"/>
    <w:rsid w:val="005351A8"/>
    <w:rsid w:val="00572CB0"/>
    <w:rsid w:val="005957DF"/>
    <w:rsid w:val="00645B51"/>
    <w:rsid w:val="006722BC"/>
    <w:rsid w:val="006D24B7"/>
    <w:rsid w:val="006D344F"/>
    <w:rsid w:val="006E746D"/>
    <w:rsid w:val="006F7C2E"/>
    <w:rsid w:val="007109E8"/>
    <w:rsid w:val="00736565"/>
    <w:rsid w:val="00781005"/>
    <w:rsid w:val="007D3F3B"/>
    <w:rsid w:val="007D535B"/>
    <w:rsid w:val="008F47A6"/>
    <w:rsid w:val="008F7A3E"/>
    <w:rsid w:val="0097676E"/>
    <w:rsid w:val="00984DBA"/>
    <w:rsid w:val="00A25024"/>
    <w:rsid w:val="00B34B63"/>
    <w:rsid w:val="00B96FB5"/>
    <w:rsid w:val="00BF170E"/>
    <w:rsid w:val="00C23C9E"/>
    <w:rsid w:val="00C651C5"/>
    <w:rsid w:val="00C9296E"/>
    <w:rsid w:val="00CE433A"/>
    <w:rsid w:val="00CE6440"/>
    <w:rsid w:val="00D51C4E"/>
    <w:rsid w:val="00D5244F"/>
    <w:rsid w:val="00DE0773"/>
    <w:rsid w:val="00EC2178"/>
    <w:rsid w:val="00EE3D4B"/>
    <w:rsid w:val="00F13D49"/>
    <w:rsid w:val="00F864EE"/>
    <w:rsid w:val="00F93B00"/>
    <w:rsid w:val="00FF7C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803B0C"/>
  <w15:chartTrackingRefBased/>
  <w15:docId w15:val="{E29DC4DB-6C5C-4DEA-9149-97EC19E9F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4B7"/>
  </w:style>
  <w:style w:type="paragraph" w:styleId="Heading1">
    <w:name w:val="heading 1"/>
    <w:basedOn w:val="Normal"/>
    <w:next w:val="Normal"/>
    <w:link w:val="Heading1Char"/>
    <w:uiPriority w:val="9"/>
    <w:qFormat/>
    <w:rsid w:val="000918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918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918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918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0918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18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18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18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18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18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918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918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0918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0918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18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18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18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185B"/>
    <w:rPr>
      <w:rFonts w:eastAsiaTheme="majorEastAsia" w:cstheme="majorBidi"/>
      <w:color w:val="272727" w:themeColor="text1" w:themeTint="D8"/>
    </w:rPr>
  </w:style>
  <w:style w:type="paragraph" w:styleId="Title">
    <w:name w:val="Title"/>
    <w:basedOn w:val="Normal"/>
    <w:next w:val="Normal"/>
    <w:link w:val="TitleChar"/>
    <w:uiPriority w:val="10"/>
    <w:qFormat/>
    <w:rsid w:val="000918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18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18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18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185B"/>
    <w:pPr>
      <w:spacing w:before="160"/>
      <w:jc w:val="center"/>
    </w:pPr>
    <w:rPr>
      <w:i/>
      <w:iCs/>
      <w:color w:val="404040" w:themeColor="text1" w:themeTint="BF"/>
    </w:rPr>
  </w:style>
  <w:style w:type="character" w:customStyle="1" w:styleId="QuoteChar">
    <w:name w:val="Quote Char"/>
    <w:basedOn w:val="DefaultParagraphFont"/>
    <w:link w:val="Quote"/>
    <w:uiPriority w:val="29"/>
    <w:rsid w:val="0009185B"/>
    <w:rPr>
      <w:i/>
      <w:iCs/>
      <w:color w:val="404040" w:themeColor="text1" w:themeTint="BF"/>
    </w:rPr>
  </w:style>
  <w:style w:type="paragraph" w:styleId="ListParagraph">
    <w:name w:val="List Paragraph"/>
    <w:basedOn w:val="Normal"/>
    <w:uiPriority w:val="34"/>
    <w:qFormat/>
    <w:rsid w:val="0009185B"/>
    <w:pPr>
      <w:ind w:left="720"/>
      <w:contextualSpacing/>
    </w:pPr>
  </w:style>
  <w:style w:type="character" w:styleId="IntenseEmphasis">
    <w:name w:val="Intense Emphasis"/>
    <w:basedOn w:val="DefaultParagraphFont"/>
    <w:uiPriority w:val="21"/>
    <w:qFormat/>
    <w:rsid w:val="0009185B"/>
    <w:rPr>
      <w:i/>
      <w:iCs/>
      <w:color w:val="0F4761" w:themeColor="accent1" w:themeShade="BF"/>
    </w:rPr>
  </w:style>
  <w:style w:type="paragraph" w:styleId="IntenseQuote">
    <w:name w:val="Intense Quote"/>
    <w:basedOn w:val="Normal"/>
    <w:next w:val="Normal"/>
    <w:link w:val="IntenseQuoteChar"/>
    <w:uiPriority w:val="30"/>
    <w:qFormat/>
    <w:rsid w:val="000918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185B"/>
    <w:rPr>
      <w:i/>
      <w:iCs/>
      <w:color w:val="0F4761" w:themeColor="accent1" w:themeShade="BF"/>
    </w:rPr>
  </w:style>
  <w:style w:type="character" w:styleId="IntenseReference">
    <w:name w:val="Intense Reference"/>
    <w:basedOn w:val="DefaultParagraphFont"/>
    <w:uiPriority w:val="32"/>
    <w:qFormat/>
    <w:rsid w:val="0009185B"/>
    <w:rPr>
      <w:b/>
      <w:bCs/>
      <w:smallCaps/>
      <w:color w:val="0F4761" w:themeColor="accent1" w:themeShade="BF"/>
      <w:spacing w:val="5"/>
    </w:rPr>
  </w:style>
  <w:style w:type="character" w:styleId="Hyperlink">
    <w:name w:val="Hyperlink"/>
    <w:basedOn w:val="DefaultParagraphFont"/>
    <w:uiPriority w:val="99"/>
    <w:unhideWhenUsed/>
    <w:rsid w:val="00061386"/>
    <w:rPr>
      <w:color w:val="467886" w:themeColor="hyperlink"/>
      <w:u w:val="single"/>
    </w:rPr>
  </w:style>
  <w:style w:type="character" w:styleId="UnresolvedMention">
    <w:name w:val="Unresolved Mention"/>
    <w:basedOn w:val="DefaultParagraphFont"/>
    <w:uiPriority w:val="99"/>
    <w:semiHidden/>
    <w:unhideWhenUsed/>
    <w:rsid w:val="00061386"/>
    <w:rPr>
      <w:color w:val="605E5C"/>
      <w:shd w:val="clear" w:color="auto" w:fill="E1DFDD"/>
    </w:rPr>
  </w:style>
  <w:style w:type="table" w:styleId="TableGrid">
    <w:name w:val="Table Grid"/>
    <w:basedOn w:val="TableNormal"/>
    <w:uiPriority w:val="39"/>
    <w:rsid w:val="00572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D51C4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0175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75F1"/>
  </w:style>
  <w:style w:type="paragraph" w:styleId="Footer">
    <w:name w:val="footer"/>
    <w:basedOn w:val="Normal"/>
    <w:link w:val="FooterChar"/>
    <w:uiPriority w:val="99"/>
    <w:unhideWhenUsed/>
    <w:rsid w:val="000175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75F1"/>
  </w:style>
  <w:style w:type="character" w:styleId="CommentReference">
    <w:name w:val="annotation reference"/>
    <w:basedOn w:val="DefaultParagraphFont"/>
    <w:uiPriority w:val="99"/>
    <w:semiHidden/>
    <w:unhideWhenUsed/>
    <w:rsid w:val="005957DF"/>
    <w:rPr>
      <w:sz w:val="16"/>
      <w:szCs w:val="16"/>
    </w:rPr>
  </w:style>
  <w:style w:type="paragraph" w:styleId="CommentText">
    <w:name w:val="annotation text"/>
    <w:basedOn w:val="Normal"/>
    <w:link w:val="CommentTextChar"/>
    <w:uiPriority w:val="99"/>
    <w:unhideWhenUsed/>
    <w:rsid w:val="005957DF"/>
    <w:pPr>
      <w:spacing w:line="240" w:lineRule="auto"/>
    </w:pPr>
    <w:rPr>
      <w:sz w:val="20"/>
      <w:szCs w:val="20"/>
    </w:rPr>
  </w:style>
  <w:style w:type="character" w:customStyle="1" w:styleId="CommentTextChar">
    <w:name w:val="Comment Text Char"/>
    <w:basedOn w:val="DefaultParagraphFont"/>
    <w:link w:val="CommentText"/>
    <w:uiPriority w:val="99"/>
    <w:rsid w:val="005957DF"/>
    <w:rPr>
      <w:sz w:val="20"/>
      <w:szCs w:val="20"/>
    </w:rPr>
  </w:style>
  <w:style w:type="paragraph" w:styleId="CommentSubject">
    <w:name w:val="annotation subject"/>
    <w:basedOn w:val="CommentText"/>
    <w:next w:val="CommentText"/>
    <w:link w:val="CommentSubjectChar"/>
    <w:uiPriority w:val="99"/>
    <w:semiHidden/>
    <w:unhideWhenUsed/>
    <w:rsid w:val="005957DF"/>
    <w:rPr>
      <w:b/>
      <w:bCs/>
    </w:rPr>
  </w:style>
  <w:style w:type="character" w:customStyle="1" w:styleId="CommentSubjectChar">
    <w:name w:val="Comment Subject Char"/>
    <w:basedOn w:val="CommentTextChar"/>
    <w:link w:val="CommentSubject"/>
    <w:uiPriority w:val="99"/>
    <w:semiHidden/>
    <w:rsid w:val="005957DF"/>
    <w:rPr>
      <w:b/>
      <w:bCs/>
      <w:sz w:val="20"/>
      <w:szCs w:val="20"/>
    </w:rPr>
  </w:style>
  <w:style w:type="paragraph" w:styleId="EndnoteText">
    <w:name w:val="endnote text"/>
    <w:basedOn w:val="Normal"/>
    <w:link w:val="EndnoteTextChar"/>
    <w:uiPriority w:val="99"/>
    <w:semiHidden/>
    <w:unhideWhenUsed/>
    <w:rsid w:val="0078100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81005"/>
    <w:rPr>
      <w:sz w:val="20"/>
      <w:szCs w:val="20"/>
    </w:rPr>
  </w:style>
  <w:style w:type="character" w:styleId="EndnoteReference">
    <w:name w:val="endnote reference"/>
    <w:basedOn w:val="DefaultParagraphFont"/>
    <w:uiPriority w:val="99"/>
    <w:semiHidden/>
    <w:unhideWhenUsed/>
    <w:rsid w:val="007810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t.gov.au/education-and-training/supporting-education-in-the-act/school-board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ct.gov.au/__data/assets/word_doc/0012/2825679/School-Boards-Code-of-Conduct.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528BA-9D59-4167-9CB1-14DF8B5DD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558</Words>
  <Characters>3243</Characters>
  <Application>Microsoft Office Word</Application>
  <DocSecurity>0</DocSecurity>
  <Lines>360</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Greig, Lisa</dc:creator>
  <cp:keywords/>
  <dc:description/>
  <cp:lastModifiedBy>Donne, Genevra</cp:lastModifiedBy>
  <cp:revision>3</cp:revision>
  <dcterms:created xsi:type="dcterms:W3CDTF">2026-06-24T01:07:00Z</dcterms:created>
  <dcterms:modified xsi:type="dcterms:W3CDTF">2026-06-24T01:14:00Z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2026-06-23T01:12:38Z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f7acd66a-584e-47c2-b0aa-84307e36d61b</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