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2720" w14:textId="77777777" w:rsidR="00937A95" w:rsidRDefault="00937A95">
      <w:pPr>
        <w:spacing w:before="0" w:after="160" w:line="259" w:lineRule="auto"/>
      </w:pPr>
      <w:r>
        <w:rPr>
          <w:noProof/>
          <w:color w:val="000000" w:themeColor="text1"/>
        </w:rPr>
        <w:drawing>
          <wp:inline distT="0" distB="0" distL="0" distR="0" wp14:anchorId="2050AC63" wp14:editId="51F21254">
            <wp:extent cx="1753235" cy="890270"/>
            <wp:effectExtent l="0" t="0" r="0" b="0"/>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11">
                      <a:extLst>
                        <a:ext uri="{28A0092B-C50C-407E-A947-70E740481C1C}">
                          <a14:useLocalDpi xmlns:a14="http://schemas.microsoft.com/office/drawing/2010/main" val="0"/>
                        </a:ext>
                      </a:extLst>
                    </a:blip>
                    <a:stretch>
                      <a:fillRect/>
                    </a:stretch>
                  </pic:blipFill>
                  <pic:spPr>
                    <a:xfrm>
                      <a:off x="0" y="0"/>
                      <a:ext cx="1753235" cy="890270"/>
                    </a:xfrm>
                    <a:prstGeom prst="rect">
                      <a:avLst/>
                    </a:prstGeom>
                  </pic:spPr>
                </pic:pic>
              </a:graphicData>
            </a:graphic>
          </wp:inline>
        </w:drawing>
      </w:r>
    </w:p>
    <w:p w14:paraId="67A08F03" w14:textId="77777777" w:rsidR="00937A95" w:rsidRDefault="00937A95">
      <w:pPr>
        <w:spacing w:before="0" w:after="160" w:line="259" w:lineRule="auto"/>
      </w:pPr>
    </w:p>
    <w:p w14:paraId="27B53642" w14:textId="02EAC52D" w:rsidR="00937A95" w:rsidRDefault="00414EDF" w:rsidP="00041F2C">
      <w:pPr>
        <w:pStyle w:val="Title"/>
        <w:spacing w:after="0"/>
        <w:ind w:left="1440"/>
      </w:pPr>
      <w:bookmarkStart w:id="0" w:name="_Toc193882641"/>
      <w:bookmarkStart w:id="1" w:name="_Toc199342760"/>
      <w:r>
        <w:t>Discussion Paper</w:t>
      </w:r>
      <w:bookmarkEnd w:id="0"/>
      <w:bookmarkEnd w:id="1"/>
    </w:p>
    <w:p w14:paraId="6DEF451C" w14:textId="7CF7E61B" w:rsidR="00937A95" w:rsidRPr="00F939BC" w:rsidRDefault="000C3392" w:rsidP="00414EDF">
      <w:pPr>
        <w:pStyle w:val="Subtitle"/>
        <w:spacing w:line="240" w:lineRule="auto"/>
        <w:ind w:left="1440"/>
        <w:jc w:val="left"/>
      </w:pPr>
      <w:r>
        <w:t>Tribunal</w:t>
      </w:r>
      <w:r w:rsidR="00414EDF">
        <w:t xml:space="preserve"> Pathway for Human Rights Complaints</w:t>
      </w:r>
    </w:p>
    <w:p w14:paraId="60ECBA14" w14:textId="77777777" w:rsidR="00414EDF" w:rsidRDefault="00414EDF" w:rsidP="00414EDF">
      <w:pPr>
        <w:pStyle w:val="IntroParagraph"/>
        <w:spacing w:before="0" w:after="0"/>
        <w:ind w:left="1440"/>
        <w:rPr>
          <w:color w:val="FFFFFF" w:themeColor="background1"/>
        </w:rPr>
      </w:pPr>
    </w:p>
    <w:p w14:paraId="73660C5E" w14:textId="77777777" w:rsidR="00414EDF" w:rsidRDefault="00414EDF" w:rsidP="00414EDF">
      <w:pPr>
        <w:pStyle w:val="IntroParagraph"/>
        <w:spacing w:before="0" w:after="0"/>
        <w:ind w:left="1440"/>
        <w:rPr>
          <w:color w:val="FFFFFF" w:themeColor="background1"/>
        </w:rPr>
      </w:pPr>
    </w:p>
    <w:p w14:paraId="5F5EB65F" w14:textId="77777777" w:rsidR="00414EDF" w:rsidRDefault="00414EDF" w:rsidP="00414EDF">
      <w:pPr>
        <w:pStyle w:val="IntroParagraph"/>
        <w:spacing w:before="0" w:after="0"/>
        <w:ind w:left="1440"/>
        <w:rPr>
          <w:color w:val="FFFFFF" w:themeColor="background1"/>
        </w:rPr>
      </w:pPr>
    </w:p>
    <w:p w14:paraId="1388347F" w14:textId="77777777" w:rsidR="00414EDF" w:rsidRDefault="00414EDF" w:rsidP="00414EDF">
      <w:pPr>
        <w:pStyle w:val="IntroParagraph"/>
        <w:spacing w:before="0" w:after="0"/>
        <w:ind w:left="1440"/>
        <w:rPr>
          <w:color w:val="FFFFFF" w:themeColor="background1"/>
        </w:rPr>
      </w:pPr>
    </w:p>
    <w:p w14:paraId="5CC1F032" w14:textId="77777777" w:rsidR="00414EDF" w:rsidRDefault="00414EDF" w:rsidP="00414EDF">
      <w:pPr>
        <w:pStyle w:val="IntroParagraph"/>
        <w:spacing w:before="0" w:after="0"/>
        <w:ind w:left="1440"/>
        <w:rPr>
          <w:color w:val="FFFFFF" w:themeColor="background1"/>
        </w:rPr>
      </w:pPr>
    </w:p>
    <w:p w14:paraId="0B6EC396" w14:textId="77777777" w:rsidR="00414EDF" w:rsidRDefault="00414EDF" w:rsidP="00414EDF">
      <w:pPr>
        <w:pStyle w:val="IntroParagraph"/>
        <w:spacing w:before="0" w:after="0"/>
        <w:ind w:left="1440"/>
        <w:rPr>
          <w:color w:val="FFFFFF" w:themeColor="background1"/>
        </w:rPr>
      </w:pPr>
    </w:p>
    <w:p w14:paraId="6EA0983A" w14:textId="77777777" w:rsidR="00414EDF" w:rsidRDefault="00414EDF" w:rsidP="00414EDF">
      <w:pPr>
        <w:pStyle w:val="IntroParagraph"/>
        <w:spacing w:before="0" w:after="0"/>
        <w:ind w:left="1440"/>
        <w:rPr>
          <w:color w:val="FFFFFF" w:themeColor="background1"/>
        </w:rPr>
      </w:pPr>
    </w:p>
    <w:p w14:paraId="7B52196B" w14:textId="77777777" w:rsidR="00414EDF" w:rsidRDefault="00414EDF" w:rsidP="00414EDF">
      <w:pPr>
        <w:pStyle w:val="IntroParagraph"/>
        <w:spacing w:before="0" w:after="0"/>
        <w:ind w:left="1440"/>
        <w:rPr>
          <w:color w:val="FFFFFF" w:themeColor="background1"/>
        </w:rPr>
      </w:pPr>
    </w:p>
    <w:p w14:paraId="5B7AA99C" w14:textId="77777777" w:rsidR="00414EDF" w:rsidRDefault="00414EDF" w:rsidP="00414EDF">
      <w:pPr>
        <w:pStyle w:val="IntroParagraph"/>
        <w:spacing w:before="0" w:after="0"/>
        <w:ind w:left="1440"/>
        <w:rPr>
          <w:color w:val="FFFFFF" w:themeColor="background1"/>
        </w:rPr>
      </w:pPr>
    </w:p>
    <w:p w14:paraId="5385B8E7" w14:textId="77777777" w:rsidR="00414EDF" w:rsidRDefault="00414EDF" w:rsidP="00414EDF">
      <w:pPr>
        <w:pStyle w:val="IntroParagraph"/>
        <w:spacing w:before="0" w:after="0"/>
        <w:ind w:left="1440"/>
        <w:rPr>
          <w:color w:val="FFFFFF" w:themeColor="background1"/>
        </w:rPr>
      </w:pPr>
    </w:p>
    <w:p w14:paraId="1F5FCF30" w14:textId="77777777" w:rsidR="00414EDF" w:rsidRDefault="00414EDF" w:rsidP="00414EDF">
      <w:pPr>
        <w:pStyle w:val="IntroParagraph"/>
        <w:spacing w:before="0" w:after="0"/>
        <w:ind w:left="1440"/>
        <w:rPr>
          <w:color w:val="FFFFFF" w:themeColor="background1"/>
        </w:rPr>
      </w:pPr>
    </w:p>
    <w:p w14:paraId="38E0290B" w14:textId="77777777" w:rsidR="00414EDF" w:rsidRDefault="00414EDF" w:rsidP="00414EDF">
      <w:pPr>
        <w:pStyle w:val="IntroParagraph"/>
        <w:spacing w:before="0" w:after="0"/>
        <w:ind w:left="1440"/>
        <w:rPr>
          <w:color w:val="FFFFFF" w:themeColor="background1"/>
        </w:rPr>
      </w:pPr>
    </w:p>
    <w:p w14:paraId="551A05B2" w14:textId="77777777" w:rsidR="00414EDF" w:rsidRDefault="00414EDF" w:rsidP="00414EDF">
      <w:pPr>
        <w:pStyle w:val="IntroParagraph"/>
        <w:spacing w:before="0" w:after="0"/>
        <w:ind w:left="1440"/>
        <w:rPr>
          <w:color w:val="FFFFFF" w:themeColor="background1"/>
        </w:rPr>
      </w:pPr>
    </w:p>
    <w:p w14:paraId="1A0E4F90" w14:textId="77777777" w:rsidR="00414EDF" w:rsidRDefault="00414EDF" w:rsidP="00414EDF">
      <w:pPr>
        <w:pStyle w:val="IntroParagraph"/>
        <w:spacing w:before="0" w:after="0"/>
        <w:ind w:left="1440"/>
        <w:rPr>
          <w:color w:val="FFFFFF" w:themeColor="background1"/>
        </w:rPr>
      </w:pPr>
    </w:p>
    <w:p w14:paraId="040B454F" w14:textId="77777777" w:rsidR="00414EDF" w:rsidRDefault="00414EDF" w:rsidP="00414EDF">
      <w:pPr>
        <w:pStyle w:val="IntroParagraph"/>
        <w:spacing w:before="0" w:after="0"/>
        <w:ind w:left="1440"/>
        <w:rPr>
          <w:color w:val="FFFFFF" w:themeColor="background1"/>
        </w:rPr>
      </w:pPr>
    </w:p>
    <w:p w14:paraId="1089076E" w14:textId="77777777" w:rsidR="00414EDF" w:rsidRDefault="00414EDF" w:rsidP="00414EDF">
      <w:pPr>
        <w:pStyle w:val="IntroParagraph"/>
        <w:spacing w:before="0" w:after="0"/>
        <w:ind w:left="1440"/>
        <w:rPr>
          <w:color w:val="FFFFFF" w:themeColor="background1"/>
        </w:rPr>
      </w:pPr>
    </w:p>
    <w:p w14:paraId="28480E4D" w14:textId="77777777" w:rsidR="00414EDF" w:rsidRDefault="00414EDF" w:rsidP="00414EDF">
      <w:pPr>
        <w:pStyle w:val="IntroParagraph"/>
        <w:spacing w:before="0" w:after="0"/>
        <w:ind w:left="1440"/>
        <w:rPr>
          <w:color w:val="FFFFFF" w:themeColor="background1"/>
        </w:rPr>
      </w:pPr>
    </w:p>
    <w:p w14:paraId="54588C9E" w14:textId="77777777" w:rsidR="00414EDF" w:rsidRDefault="00414EDF" w:rsidP="00414EDF">
      <w:pPr>
        <w:pStyle w:val="IntroParagraph"/>
        <w:spacing w:before="0" w:after="0"/>
        <w:ind w:left="1440"/>
        <w:rPr>
          <w:color w:val="FFFFFF" w:themeColor="background1"/>
        </w:rPr>
      </w:pPr>
    </w:p>
    <w:p w14:paraId="6FBCF309" w14:textId="77777777" w:rsidR="00414EDF" w:rsidRDefault="00414EDF" w:rsidP="00414EDF">
      <w:pPr>
        <w:pStyle w:val="IntroParagraph"/>
        <w:spacing w:before="0" w:after="0"/>
        <w:ind w:left="1440"/>
        <w:rPr>
          <w:color w:val="FFFFFF" w:themeColor="background1"/>
        </w:rPr>
      </w:pPr>
    </w:p>
    <w:p w14:paraId="1921CA23" w14:textId="77777777" w:rsidR="00414EDF" w:rsidRDefault="00414EDF" w:rsidP="00414EDF">
      <w:pPr>
        <w:pStyle w:val="IntroParagraph"/>
        <w:spacing w:before="0" w:after="0"/>
        <w:ind w:left="1440"/>
        <w:rPr>
          <w:color w:val="FFFFFF" w:themeColor="background1"/>
        </w:rPr>
      </w:pPr>
    </w:p>
    <w:p w14:paraId="7F737EDB" w14:textId="77777777" w:rsidR="00414EDF" w:rsidRDefault="00414EDF" w:rsidP="00414EDF">
      <w:pPr>
        <w:pStyle w:val="IntroParagraph"/>
        <w:spacing w:before="0" w:after="0"/>
        <w:ind w:left="1440"/>
        <w:rPr>
          <w:color w:val="FFFFFF" w:themeColor="background1"/>
        </w:rPr>
      </w:pPr>
    </w:p>
    <w:p w14:paraId="55403E93" w14:textId="77777777" w:rsidR="00414EDF" w:rsidRPr="00937A95" w:rsidRDefault="00414EDF" w:rsidP="00414EDF">
      <w:pPr>
        <w:pStyle w:val="IntroParagraph"/>
        <w:spacing w:before="0" w:after="0"/>
        <w:ind w:left="1440"/>
        <w:rPr>
          <w:color w:val="FFFFFF" w:themeColor="background1"/>
        </w:rPr>
      </w:pPr>
    </w:p>
    <w:p w14:paraId="0DE7C858" w14:textId="77777777" w:rsidR="00036660" w:rsidRDefault="00D33CD9">
      <w:pPr>
        <w:spacing w:before="0" w:after="160" w:line="259" w:lineRule="auto"/>
        <w:rPr>
          <w:b/>
          <w:bCs/>
          <w:color w:val="482D8C"/>
          <w:sz w:val="28"/>
          <w:szCs w:val="28"/>
        </w:rPr>
      </w:pPr>
      <w:r w:rsidRPr="00041F2C">
        <w:rPr>
          <w:b/>
          <w:bCs/>
          <w:caps/>
          <w:noProof/>
          <w:color w:val="482D8C"/>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414EDF">
        <w:rPr>
          <w:b/>
          <w:bCs/>
          <w:color w:val="482D8C"/>
          <w:sz w:val="28"/>
          <w:szCs w:val="28"/>
        </w:rPr>
        <w:t>Justice and Community Safety Directorate</w:t>
      </w:r>
    </w:p>
    <w:p w14:paraId="0F555017" w14:textId="3C1B9F00" w:rsidR="005E69BD" w:rsidRPr="00041F2C" w:rsidRDefault="00450C50">
      <w:pPr>
        <w:spacing w:before="0" w:after="160" w:line="259" w:lineRule="auto"/>
        <w:rPr>
          <w:rFonts w:ascii="Arial" w:hAnsi="Arial"/>
          <w:b/>
          <w:caps/>
          <w:color w:val="482D8C"/>
          <w:kern w:val="28"/>
          <w:sz w:val="28"/>
          <w:szCs w:val="28"/>
        </w:rPr>
      </w:pPr>
      <w:r>
        <w:rPr>
          <w:b/>
          <w:bCs/>
          <w:color w:val="482D8C"/>
          <w:sz w:val="28"/>
          <w:szCs w:val="28"/>
        </w:rPr>
        <w:t>June</w:t>
      </w:r>
      <w:r w:rsidR="00036660">
        <w:rPr>
          <w:b/>
          <w:bCs/>
          <w:color w:val="482D8C"/>
          <w:sz w:val="28"/>
          <w:szCs w:val="28"/>
        </w:rPr>
        <w:t xml:space="preserve"> 202</w:t>
      </w:r>
      <w:r w:rsidR="00EB0F8C">
        <w:rPr>
          <w:b/>
          <w:bCs/>
          <w:color w:val="482D8C"/>
          <w:sz w:val="28"/>
          <w:szCs w:val="28"/>
        </w:rPr>
        <w:t>6</w:t>
      </w:r>
      <w:r w:rsidR="005E69BD" w:rsidRPr="00041F2C">
        <w:rPr>
          <w:color w:val="482D8C"/>
          <w:sz w:val="28"/>
          <w:szCs w:val="28"/>
        </w:rPr>
        <w:br w:type="page"/>
      </w:r>
    </w:p>
    <w:p w14:paraId="2926E197" w14:textId="77777777" w:rsidR="009266DD" w:rsidRDefault="009266DD" w:rsidP="00825C83">
      <w:pPr>
        <w:pStyle w:val="Heading1"/>
        <w:sectPr w:rsidR="009266DD" w:rsidSect="00390C4F">
          <w:headerReference w:type="even" r:id="rId12"/>
          <w:headerReference w:type="default"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rFonts w:ascii="Calibri" w:eastAsia="Times New Roman" w:hAnsi="Calibri" w:cs="Times New Roman"/>
          <w:color w:val="auto"/>
          <w:sz w:val="22"/>
          <w:szCs w:val="20"/>
          <w:lang w:val="en-AU"/>
        </w:rPr>
        <w:id w:val="-1158232569"/>
        <w:docPartObj>
          <w:docPartGallery w:val="Table of Contents"/>
          <w:docPartUnique/>
        </w:docPartObj>
      </w:sdtPr>
      <w:sdtEndPr>
        <w:rPr>
          <w:b/>
          <w:bCs/>
          <w:noProof/>
        </w:rPr>
      </w:sdtEndPr>
      <w:sdtContent>
        <w:p w14:paraId="6DA1A096" w14:textId="036AF6BC" w:rsidR="00B22DF5" w:rsidRDefault="00B22DF5">
          <w:pPr>
            <w:pStyle w:val="TOCHeading"/>
          </w:pPr>
          <w:r>
            <w:t>Contents</w:t>
          </w:r>
        </w:p>
        <w:p w14:paraId="5043E3D8" w14:textId="57822B66" w:rsidR="00621671" w:rsidRDefault="00B22DF5">
          <w:pPr>
            <w:pStyle w:val="TOC1"/>
            <w:tabs>
              <w:tab w:val="right" w:leader="dot" w:pos="9629"/>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199342760" w:history="1">
            <w:r w:rsidR="00621671" w:rsidRPr="000C0B43">
              <w:rPr>
                <w:rStyle w:val="Hyperlink"/>
                <w:noProof/>
              </w:rPr>
              <w:t>Discussion Paper</w:t>
            </w:r>
            <w:r w:rsidR="00621671">
              <w:rPr>
                <w:noProof/>
                <w:webHidden/>
              </w:rPr>
              <w:tab/>
            </w:r>
            <w:r w:rsidR="00621671">
              <w:rPr>
                <w:noProof/>
                <w:webHidden/>
              </w:rPr>
              <w:fldChar w:fldCharType="begin"/>
            </w:r>
            <w:r w:rsidR="00621671">
              <w:rPr>
                <w:noProof/>
                <w:webHidden/>
              </w:rPr>
              <w:instrText xml:space="preserve"> PAGEREF _Toc199342760 \h </w:instrText>
            </w:r>
            <w:r w:rsidR="00621671">
              <w:rPr>
                <w:noProof/>
                <w:webHidden/>
              </w:rPr>
            </w:r>
            <w:r w:rsidR="00621671">
              <w:rPr>
                <w:noProof/>
                <w:webHidden/>
              </w:rPr>
              <w:fldChar w:fldCharType="separate"/>
            </w:r>
            <w:r w:rsidR="00621671">
              <w:rPr>
                <w:noProof/>
                <w:webHidden/>
              </w:rPr>
              <w:t>1</w:t>
            </w:r>
            <w:r w:rsidR="00621671">
              <w:rPr>
                <w:noProof/>
                <w:webHidden/>
              </w:rPr>
              <w:fldChar w:fldCharType="end"/>
            </w:r>
          </w:hyperlink>
        </w:p>
        <w:p w14:paraId="5788BAB2" w14:textId="59AAAAE3" w:rsidR="00621671" w:rsidRDefault="00621671">
          <w:pPr>
            <w:pStyle w:val="TOC2"/>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1" w:history="1">
            <w:r w:rsidRPr="000C0B43">
              <w:rPr>
                <w:rStyle w:val="Hyperlink"/>
                <w:noProof/>
              </w:rPr>
              <w:t>1. Purpose of this Discussion Paper</w:t>
            </w:r>
            <w:r>
              <w:rPr>
                <w:noProof/>
                <w:webHidden/>
              </w:rPr>
              <w:tab/>
            </w:r>
            <w:r>
              <w:rPr>
                <w:noProof/>
                <w:webHidden/>
              </w:rPr>
              <w:fldChar w:fldCharType="begin"/>
            </w:r>
            <w:r>
              <w:rPr>
                <w:noProof/>
                <w:webHidden/>
              </w:rPr>
              <w:instrText xml:space="preserve"> PAGEREF _Toc199342761 \h </w:instrText>
            </w:r>
            <w:r>
              <w:rPr>
                <w:noProof/>
                <w:webHidden/>
              </w:rPr>
            </w:r>
            <w:r>
              <w:rPr>
                <w:noProof/>
                <w:webHidden/>
              </w:rPr>
              <w:fldChar w:fldCharType="separate"/>
            </w:r>
            <w:r>
              <w:rPr>
                <w:noProof/>
                <w:webHidden/>
              </w:rPr>
              <w:t>3</w:t>
            </w:r>
            <w:r>
              <w:rPr>
                <w:noProof/>
                <w:webHidden/>
              </w:rPr>
              <w:fldChar w:fldCharType="end"/>
            </w:r>
          </w:hyperlink>
        </w:p>
        <w:p w14:paraId="336F27B7" w14:textId="05C3641A" w:rsidR="00621671" w:rsidRDefault="00621671">
          <w:pPr>
            <w:pStyle w:val="TOC2"/>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2" w:history="1">
            <w:r w:rsidRPr="000C0B43">
              <w:rPr>
                <w:rStyle w:val="Hyperlink"/>
                <w:noProof/>
              </w:rPr>
              <w:t>2. Background</w:t>
            </w:r>
            <w:r>
              <w:rPr>
                <w:noProof/>
                <w:webHidden/>
              </w:rPr>
              <w:tab/>
            </w:r>
            <w:r>
              <w:rPr>
                <w:noProof/>
                <w:webHidden/>
              </w:rPr>
              <w:fldChar w:fldCharType="begin"/>
            </w:r>
            <w:r>
              <w:rPr>
                <w:noProof/>
                <w:webHidden/>
              </w:rPr>
              <w:instrText xml:space="preserve"> PAGEREF _Toc199342762 \h </w:instrText>
            </w:r>
            <w:r>
              <w:rPr>
                <w:noProof/>
                <w:webHidden/>
              </w:rPr>
            </w:r>
            <w:r>
              <w:rPr>
                <w:noProof/>
                <w:webHidden/>
              </w:rPr>
              <w:fldChar w:fldCharType="separate"/>
            </w:r>
            <w:r>
              <w:rPr>
                <w:noProof/>
                <w:webHidden/>
              </w:rPr>
              <w:t>3</w:t>
            </w:r>
            <w:r>
              <w:rPr>
                <w:noProof/>
                <w:webHidden/>
              </w:rPr>
              <w:fldChar w:fldCharType="end"/>
            </w:r>
          </w:hyperlink>
        </w:p>
        <w:p w14:paraId="4A536448" w14:textId="1A034CFA"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3" w:history="1">
            <w:r w:rsidRPr="000C0B43">
              <w:rPr>
                <w:rStyle w:val="Hyperlink"/>
                <w:noProof/>
              </w:rPr>
              <w:t>A. No Rights Without Remedy</w:t>
            </w:r>
            <w:r>
              <w:rPr>
                <w:noProof/>
                <w:webHidden/>
              </w:rPr>
              <w:tab/>
            </w:r>
            <w:r>
              <w:rPr>
                <w:noProof/>
                <w:webHidden/>
              </w:rPr>
              <w:fldChar w:fldCharType="begin"/>
            </w:r>
            <w:r>
              <w:rPr>
                <w:noProof/>
                <w:webHidden/>
              </w:rPr>
              <w:instrText xml:space="preserve"> PAGEREF _Toc199342763 \h </w:instrText>
            </w:r>
            <w:r>
              <w:rPr>
                <w:noProof/>
                <w:webHidden/>
              </w:rPr>
            </w:r>
            <w:r>
              <w:rPr>
                <w:noProof/>
                <w:webHidden/>
              </w:rPr>
              <w:fldChar w:fldCharType="separate"/>
            </w:r>
            <w:r>
              <w:rPr>
                <w:noProof/>
                <w:webHidden/>
              </w:rPr>
              <w:t>3</w:t>
            </w:r>
            <w:r>
              <w:rPr>
                <w:noProof/>
                <w:webHidden/>
              </w:rPr>
              <w:fldChar w:fldCharType="end"/>
            </w:r>
          </w:hyperlink>
        </w:p>
        <w:p w14:paraId="7C3AFEF6" w14:textId="0D49EF7D"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4" w:history="1">
            <w:r w:rsidRPr="000C0B43">
              <w:rPr>
                <w:rStyle w:val="Hyperlink"/>
                <w:noProof/>
              </w:rPr>
              <w:t>B. Key Questions for Discussion</w:t>
            </w:r>
            <w:r>
              <w:rPr>
                <w:noProof/>
                <w:webHidden/>
              </w:rPr>
              <w:tab/>
            </w:r>
            <w:r>
              <w:rPr>
                <w:noProof/>
                <w:webHidden/>
              </w:rPr>
              <w:fldChar w:fldCharType="begin"/>
            </w:r>
            <w:r>
              <w:rPr>
                <w:noProof/>
                <w:webHidden/>
              </w:rPr>
              <w:instrText xml:space="preserve"> PAGEREF _Toc199342764 \h </w:instrText>
            </w:r>
            <w:r>
              <w:rPr>
                <w:noProof/>
                <w:webHidden/>
              </w:rPr>
            </w:r>
            <w:r>
              <w:rPr>
                <w:noProof/>
                <w:webHidden/>
              </w:rPr>
              <w:fldChar w:fldCharType="separate"/>
            </w:r>
            <w:r>
              <w:rPr>
                <w:noProof/>
                <w:webHidden/>
              </w:rPr>
              <w:t>4</w:t>
            </w:r>
            <w:r>
              <w:rPr>
                <w:noProof/>
                <w:webHidden/>
              </w:rPr>
              <w:fldChar w:fldCharType="end"/>
            </w:r>
          </w:hyperlink>
        </w:p>
        <w:p w14:paraId="7E541747" w14:textId="7B0D14A2"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5" w:history="1">
            <w:r w:rsidRPr="000C0B43">
              <w:rPr>
                <w:rStyle w:val="Hyperlink"/>
                <w:noProof/>
              </w:rPr>
              <w:t>C. Making a Submission</w:t>
            </w:r>
            <w:r>
              <w:rPr>
                <w:noProof/>
                <w:webHidden/>
              </w:rPr>
              <w:tab/>
            </w:r>
            <w:r>
              <w:rPr>
                <w:noProof/>
                <w:webHidden/>
              </w:rPr>
              <w:fldChar w:fldCharType="begin"/>
            </w:r>
            <w:r>
              <w:rPr>
                <w:noProof/>
                <w:webHidden/>
              </w:rPr>
              <w:instrText xml:space="preserve"> PAGEREF _Toc199342765 \h </w:instrText>
            </w:r>
            <w:r>
              <w:rPr>
                <w:noProof/>
                <w:webHidden/>
              </w:rPr>
            </w:r>
            <w:r>
              <w:rPr>
                <w:noProof/>
                <w:webHidden/>
              </w:rPr>
              <w:fldChar w:fldCharType="separate"/>
            </w:r>
            <w:r>
              <w:rPr>
                <w:noProof/>
                <w:webHidden/>
              </w:rPr>
              <w:t>4</w:t>
            </w:r>
            <w:r>
              <w:rPr>
                <w:noProof/>
                <w:webHidden/>
              </w:rPr>
              <w:fldChar w:fldCharType="end"/>
            </w:r>
          </w:hyperlink>
        </w:p>
        <w:p w14:paraId="7B0DFEFE" w14:textId="1248493B" w:rsidR="00621671" w:rsidRDefault="00621671">
          <w:pPr>
            <w:pStyle w:val="TOC2"/>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6" w:history="1">
            <w:r w:rsidRPr="000C0B43">
              <w:rPr>
                <w:rStyle w:val="Hyperlink"/>
                <w:noProof/>
              </w:rPr>
              <w:t>3. Structure of the ACAT Pathway</w:t>
            </w:r>
            <w:r>
              <w:rPr>
                <w:noProof/>
                <w:webHidden/>
              </w:rPr>
              <w:tab/>
            </w:r>
            <w:r>
              <w:rPr>
                <w:noProof/>
                <w:webHidden/>
              </w:rPr>
              <w:fldChar w:fldCharType="begin"/>
            </w:r>
            <w:r>
              <w:rPr>
                <w:noProof/>
                <w:webHidden/>
              </w:rPr>
              <w:instrText xml:space="preserve"> PAGEREF _Toc199342766 \h </w:instrText>
            </w:r>
            <w:r>
              <w:rPr>
                <w:noProof/>
                <w:webHidden/>
              </w:rPr>
            </w:r>
            <w:r>
              <w:rPr>
                <w:noProof/>
                <w:webHidden/>
              </w:rPr>
              <w:fldChar w:fldCharType="separate"/>
            </w:r>
            <w:r>
              <w:rPr>
                <w:noProof/>
                <w:webHidden/>
              </w:rPr>
              <w:t>5</w:t>
            </w:r>
            <w:r>
              <w:rPr>
                <w:noProof/>
                <w:webHidden/>
              </w:rPr>
              <w:fldChar w:fldCharType="end"/>
            </w:r>
          </w:hyperlink>
        </w:p>
        <w:p w14:paraId="62FC4E62" w14:textId="6E3E454A"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7" w:history="1">
            <w:r w:rsidRPr="000C0B43">
              <w:rPr>
                <w:rStyle w:val="Hyperlink"/>
                <w:noProof/>
              </w:rPr>
              <w:t>A. ACT Human Rights Commission Complaints</w:t>
            </w:r>
            <w:r>
              <w:rPr>
                <w:noProof/>
                <w:webHidden/>
              </w:rPr>
              <w:tab/>
            </w:r>
            <w:r>
              <w:rPr>
                <w:noProof/>
                <w:webHidden/>
              </w:rPr>
              <w:fldChar w:fldCharType="begin"/>
            </w:r>
            <w:r>
              <w:rPr>
                <w:noProof/>
                <w:webHidden/>
              </w:rPr>
              <w:instrText xml:space="preserve"> PAGEREF _Toc199342767 \h </w:instrText>
            </w:r>
            <w:r>
              <w:rPr>
                <w:noProof/>
                <w:webHidden/>
              </w:rPr>
            </w:r>
            <w:r>
              <w:rPr>
                <w:noProof/>
                <w:webHidden/>
              </w:rPr>
              <w:fldChar w:fldCharType="separate"/>
            </w:r>
            <w:r>
              <w:rPr>
                <w:noProof/>
                <w:webHidden/>
              </w:rPr>
              <w:t>5</w:t>
            </w:r>
            <w:r>
              <w:rPr>
                <w:noProof/>
                <w:webHidden/>
              </w:rPr>
              <w:fldChar w:fldCharType="end"/>
            </w:r>
          </w:hyperlink>
        </w:p>
        <w:p w14:paraId="0457E60A" w14:textId="095D622F"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8" w:history="1">
            <w:r w:rsidRPr="000C0B43">
              <w:rPr>
                <w:rStyle w:val="Hyperlink"/>
                <w:noProof/>
              </w:rPr>
              <w:t>B. Tribunals and Human Rights</w:t>
            </w:r>
            <w:r>
              <w:rPr>
                <w:noProof/>
                <w:webHidden/>
              </w:rPr>
              <w:tab/>
            </w:r>
            <w:r>
              <w:rPr>
                <w:noProof/>
                <w:webHidden/>
              </w:rPr>
              <w:fldChar w:fldCharType="begin"/>
            </w:r>
            <w:r>
              <w:rPr>
                <w:noProof/>
                <w:webHidden/>
              </w:rPr>
              <w:instrText xml:space="preserve"> PAGEREF _Toc199342768 \h </w:instrText>
            </w:r>
            <w:r>
              <w:rPr>
                <w:noProof/>
                <w:webHidden/>
              </w:rPr>
            </w:r>
            <w:r>
              <w:rPr>
                <w:noProof/>
                <w:webHidden/>
              </w:rPr>
              <w:fldChar w:fldCharType="separate"/>
            </w:r>
            <w:r>
              <w:rPr>
                <w:noProof/>
                <w:webHidden/>
              </w:rPr>
              <w:t>7</w:t>
            </w:r>
            <w:r>
              <w:rPr>
                <w:noProof/>
                <w:webHidden/>
              </w:rPr>
              <w:fldChar w:fldCharType="end"/>
            </w:r>
          </w:hyperlink>
        </w:p>
        <w:p w14:paraId="3B20B858" w14:textId="0972F70E"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69" w:history="1">
            <w:r w:rsidRPr="000C0B43">
              <w:rPr>
                <w:rStyle w:val="Hyperlink"/>
                <w:noProof/>
              </w:rPr>
              <w:t>C. Interaction between Tribunal and Higher Court</w:t>
            </w:r>
            <w:r>
              <w:rPr>
                <w:noProof/>
                <w:webHidden/>
              </w:rPr>
              <w:tab/>
            </w:r>
            <w:r>
              <w:rPr>
                <w:noProof/>
                <w:webHidden/>
              </w:rPr>
              <w:fldChar w:fldCharType="begin"/>
            </w:r>
            <w:r>
              <w:rPr>
                <w:noProof/>
                <w:webHidden/>
              </w:rPr>
              <w:instrText xml:space="preserve"> PAGEREF _Toc199342769 \h </w:instrText>
            </w:r>
            <w:r>
              <w:rPr>
                <w:noProof/>
                <w:webHidden/>
              </w:rPr>
            </w:r>
            <w:r>
              <w:rPr>
                <w:noProof/>
                <w:webHidden/>
              </w:rPr>
              <w:fldChar w:fldCharType="separate"/>
            </w:r>
            <w:r>
              <w:rPr>
                <w:noProof/>
                <w:webHidden/>
              </w:rPr>
              <w:t>10</w:t>
            </w:r>
            <w:r>
              <w:rPr>
                <w:noProof/>
                <w:webHidden/>
              </w:rPr>
              <w:fldChar w:fldCharType="end"/>
            </w:r>
          </w:hyperlink>
        </w:p>
        <w:p w14:paraId="714CCFF9" w14:textId="68BF243A"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70" w:history="1">
            <w:r w:rsidRPr="000C0B43">
              <w:rPr>
                <w:rStyle w:val="Hyperlink"/>
                <w:noProof/>
              </w:rPr>
              <w:t>D. ACAT Pathway Models</w:t>
            </w:r>
            <w:r>
              <w:rPr>
                <w:noProof/>
                <w:webHidden/>
              </w:rPr>
              <w:tab/>
            </w:r>
            <w:r>
              <w:rPr>
                <w:noProof/>
                <w:webHidden/>
              </w:rPr>
              <w:fldChar w:fldCharType="begin"/>
            </w:r>
            <w:r>
              <w:rPr>
                <w:noProof/>
                <w:webHidden/>
              </w:rPr>
              <w:instrText xml:space="preserve"> PAGEREF _Toc199342770 \h </w:instrText>
            </w:r>
            <w:r>
              <w:rPr>
                <w:noProof/>
                <w:webHidden/>
              </w:rPr>
            </w:r>
            <w:r>
              <w:rPr>
                <w:noProof/>
                <w:webHidden/>
              </w:rPr>
              <w:fldChar w:fldCharType="separate"/>
            </w:r>
            <w:r>
              <w:rPr>
                <w:noProof/>
                <w:webHidden/>
              </w:rPr>
              <w:t>11</w:t>
            </w:r>
            <w:r>
              <w:rPr>
                <w:noProof/>
                <w:webHidden/>
              </w:rPr>
              <w:fldChar w:fldCharType="end"/>
            </w:r>
          </w:hyperlink>
        </w:p>
        <w:p w14:paraId="2AD372A7" w14:textId="001EFE46" w:rsidR="00621671" w:rsidRDefault="00621671">
          <w:pPr>
            <w:pStyle w:val="TOC2"/>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71" w:history="1">
            <w:r w:rsidRPr="000C0B43">
              <w:rPr>
                <w:rStyle w:val="Hyperlink"/>
                <w:noProof/>
              </w:rPr>
              <w:t>4. Remedies in ACAT</w:t>
            </w:r>
            <w:r>
              <w:rPr>
                <w:noProof/>
                <w:webHidden/>
              </w:rPr>
              <w:tab/>
            </w:r>
            <w:r>
              <w:rPr>
                <w:noProof/>
                <w:webHidden/>
              </w:rPr>
              <w:fldChar w:fldCharType="begin"/>
            </w:r>
            <w:r>
              <w:rPr>
                <w:noProof/>
                <w:webHidden/>
              </w:rPr>
              <w:instrText xml:space="preserve"> PAGEREF _Toc199342771 \h </w:instrText>
            </w:r>
            <w:r>
              <w:rPr>
                <w:noProof/>
                <w:webHidden/>
              </w:rPr>
            </w:r>
            <w:r>
              <w:rPr>
                <w:noProof/>
                <w:webHidden/>
              </w:rPr>
              <w:fldChar w:fldCharType="separate"/>
            </w:r>
            <w:r>
              <w:rPr>
                <w:noProof/>
                <w:webHidden/>
              </w:rPr>
              <w:t>14</w:t>
            </w:r>
            <w:r>
              <w:rPr>
                <w:noProof/>
                <w:webHidden/>
              </w:rPr>
              <w:fldChar w:fldCharType="end"/>
            </w:r>
          </w:hyperlink>
        </w:p>
        <w:p w14:paraId="0CE2396D" w14:textId="22F5478F"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72" w:history="1">
            <w:r w:rsidRPr="000C0B43">
              <w:rPr>
                <w:rStyle w:val="Hyperlink"/>
                <w:noProof/>
              </w:rPr>
              <w:t>A. Replicate Section 40C(6) of Human Rights Act</w:t>
            </w:r>
            <w:r>
              <w:rPr>
                <w:noProof/>
                <w:webHidden/>
              </w:rPr>
              <w:tab/>
            </w:r>
            <w:r>
              <w:rPr>
                <w:noProof/>
                <w:webHidden/>
              </w:rPr>
              <w:fldChar w:fldCharType="begin"/>
            </w:r>
            <w:r>
              <w:rPr>
                <w:noProof/>
                <w:webHidden/>
              </w:rPr>
              <w:instrText xml:space="preserve"> PAGEREF _Toc199342772 \h </w:instrText>
            </w:r>
            <w:r>
              <w:rPr>
                <w:noProof/>
                <w:webHidden/>
              </w:rPr>
            </w:r>
            <w:r>
              <w:rPr>
                <w:noProof/>
                <w:webHidden/>
              </w:rPr>
              <w:fldChar w:fldCharType="separate"/>
            </w:r>
            <w:r>
              <w:rPr>
                <w:noProof/>
                <w:webHidden/>
              </w:rPr>
              <w:t>14</w:t>
            </w:r>
            <w:r>
              <w:rPr>
                <w:noProof/>
                <w:webHidden/>
              </w:rPr>
              <w:fldChar w:fldCharType="end"/>
            </w:r>
          </w:hyperlink>
        </w:p>
        <w:p w14:paraId="5DC1CC62" w14:textId="0EDC0221" w:rsidR="00621671" w:rsidRDefault="00621671">
          <w:pPr>
            <w:pStyle w:val="TOC3"/>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73" w:history="1">
            <w:r w:rsidRPr="000C0B43">
              <w:rPr>
                <w:rStyle w:val="Hyperlink"/>
                <w:noProof/>
              </w:rPr>
              <w:t>B. Replicate section 53E of the Human Rights Commission Act</w:t>
            </w:r>
            <w:r>
              <w:rPr>
                <w:noProof/>
                <w:webHidden/>
              </w:rPr>
              <w:tab/>
            </w:r>
            <w:r>
              <w:rPr>
                <w:noProof/>
                <w:webHidden/>
              </w:rPr>
              <w:fldChar w:fldCharType="begin"/>
            </w:r>
            <w:r>
              <w:rPr>
                <w:noProof/>
                <w:webHidden/>
              </w:rPr>
              <w:instrText xml:space="preserve"> PAGEREF _Toc199342773 \h </w:instrText>
            </w:r>
            <w:r>
              <w:rPr>
                <w:noProof/>
                <w:webHidden/>
              </w:rPr>
            </w:r>
            <w:r>
              <w:rPr>
                <w:noProof/>
                <w:webHidden/>
              </w:rPr>
              <w:fldChar w:fldCharType="separate"/>
            </w:r>
            <w:r>
              <w:rPr>
                <w:noProof/>
                <w:webHidden/>
              </w:rPr>
              <w:t>15</w:t>
            </w:r>
            <w:r>
              <w:rPr>
                <w:noProof/>
                <w:webHidden/>
              </w:rPr>
              <w:fldChar w:fldCharType="end"/>
            </w:r>
          </w:hyperlink>
        </w:p>
        <w:p w14:paraId="6ECAB7DF" w14:textId="6F39AC8C" w:rsidR="00621671" w:rsidRDefault="00621671">
          <w:pPr>
            <w:pStyle w:val="TOC2"/>
            <w:tabs>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99342774" w:history="1">
            <w:r w:rsidRPr="000C0B43">
              <w:rPr>
                <w:rStyle w:val="Hyperlink"/>
                <w:noProof/>
              </w:rPr>
              <w:t>5. Reforming “Piggyback” Proceedings</w:t>
            </w:r>
            <w:r>
              <w:rPr>
                <w:noProof/>
                <w:webHidden/>
              </w:rPr>
              <w:tab/>
            </w:r>
            <w:r>
              <w:rPr>
                <w:noProof/>
                <w:webHidden/>
              </w:rPr>
              <w:fldChar w:fldCharType="begin"/>
            </w:r>
            <w:r>
              <w:rPr>
                <w:noProof/>
                <w:webHidden/>
              </w:rPr>
              <w:instrText xml:space="preserve"> PAGEREF _Toc199342774 \h </w:instrText>
            </w:r>
            <w:r>
              <w:rPr>
                <w:noProof/>
                <w:webHidden/>
              </w:rPr>
            </w:r>
            <w:r>
              <w:rPr>
                <w:noProof/>
                <w:webHidden/>
              </w:rPr>
              <w:fldChar w:fldCharType="separate"/>
            </w:r>
            <w:r>
              <w:rPr>
                <w:noProof/>
                <w:webHidden/>
              </w:rPr>
              <w:t>16</w:t>
            </w:r>
            <w:r>
              <w:rPr>
                <w:noProof/>
                <w:webHidden/>
              </w:rPr>
              <w:fldChar w:fldCharType="end"/>
            </w:r>
          </w:hyperlink>
        </w:p>
        <w:p w14:paraId="6C9A827E" w14:textId="3A9043B6" w:rsidR="00B22DF5" w:rsidRDefault="00B22DF5">
          <w:r>
            <w:rPr>
              <w:b/>
              <w:bCs/>
              <w:noProof/>
            </w:rPr>
            <w:fldChar w:fldCharType="end"/>
          </w:r>
        </w:p>
      </w:sdtContent>
    </w:sdt>
    <w:p w14:paraId="5E6B8B45" w14:textId="77777777" w:rsidR="00B22DF5" w:rsidRDefault="00B22DF5">
      <w:pPr>
        <w:spacing w:before="0" w:after="160" w:line="259" w:lineRule="auto"/>
        <w:rPr>
          <w:rFonts w:ascii="Arial" w:hAnsi="Arial"/>
          <w:b/>
          <w:snapToGrid w:val="0"/>
          <w:color w:val="7030A0"/>
          <w:sz w:val="30"/>
        </w:rPr>
      </w:pPr>
      <w:r>
        <w:br w:type="page"/>
      </w:r>
    </w:p>
    <w:p w14:paraId="183C7395" w14:textId="2F800C7B" w:rsidR="003816F2" w:rsidRDefault="00EE6687" w:rsidP="000C1A35">
      <w:pPr>
        <w:pStyle w:val="Heading2"/>
      </w:pPr>
      <w:bookmarkStart w:id="2" w:name="_Toc199342761"/>
      <w:r>
        <w:lastRenderedPageBreak/>
        <w:t xml:space="preserve">1. </w:t>
      </w:r>
      <w:r w:rsidR="003816F2">
        <w:t>Purpose of this Discussion Paper</w:t>
      </w:r>
      <w:bookmarkEnd w:id="2"/>
    </w:p>
    <w:p w14:paraId="41689B74" w14:textId="5A75E96D" w:rsidR="0041085E" w:rsidRDefault="003816F2" w:rsidP="005A2752">
      <w:pPr>
        <w:pStyle w:val="BodyText1"/>
      </w:pPr>
      <w:r>
        <w:t xml:space="preserve">The Government is committed to expanding the </w:t>
      </w:r>
      <w:r w:rsidR="00F4581C">
        <w:t>mechanisms</w:t>
      </w:r>
      <w:r>
        <w:t xml:space="preserve"> for making a complaint about a breach of the </w:t>
      </w:r>
      <w:r w:rsidRPr="005A2752">
        <w:rPr>
          <w:i/>
          <w:iCs/>
        </w:rPr>
        <w:t>Human Rights Act 2004</w:t>
      </w:r>
      <w:r>
        <w:t xml:space="preserve"> to include a new pathway to the ACT Civil and Administrative Tribunal (ACAT Pathway)</w:t>
      </w:r>
      <w:r w:rsidR="00C05DD6">
        <w:t xml:space="preserve"> and is seeking stakeholder views on options for how this pathway should be designed.  </w:t>
      </w:r>
    </w:p>
    <w:p w14:paraId="7671E13F" w14:textId="3B01B481" w:rsidR="00F95FDE" w:rsidRDefault="00EE6687" w:rsidP="000C1A35">
      <w:pPr>
        <w:pStyle w:val="Heading2"/>
      </w:pPr>
      <w:bookmarkStart w:id="3" w:name="_Toc199342762"/>
      <w:r>
        <w:t xml:space="preserve">2. </w:t>
      </w:r>
      <w:r w:rsidR="00F95FDE">
        <w:t>Background</w:t>
      </w:r>
      <w:bookmarkEnd w:id="3"/>
    </w:p>
    <w:p w14:paraId="5F788460" w14:textId="5CA1708D" w:rsidR="00C05DD6" w:rsidRDefault="00F13527" w:rsidP="000C1A35">
      <w:pPr>
        <w:pStyle w:val="Heading3"/>
      </w:pPr>
      <w:bookmarkStart w:id="4" w:name="_Toc199342763"/>
      <w:r>
        <w:t xml:space="preserve">A. </w:t>
      </w:r>
      <w:r w:rsidR="00C05DD6">
        <w:t>No Rights Without Remedy</w:t>
      </w:r>
      <w:bookmarkEnd w:id="4"/>
    </w:p>
    <w:p w14:paraId="4AF9DECB" w14:textId="666DB7DA" w:rsidR="003816F2" w:rsidRDefault="00C05DD6" w:rsidP="003816F2">
      <w:pPr>
        <w:pStyle w:val="BodyText1"/>
      </w:pPr>
      <w:r>
        <w:t xml:space="preserve">In 2021, Petition 32-21 “No Rights Without Remedy” called for an accessible way </w:t>
      </w:r>
      <w:r w:rsidR="00A552A2">
        <w:t>for</w:t>
      </w:r>
      <w:r>
        <w:t xml:space="preserve"> people to enforce their rights under the Human Rights Act.</w:t>
      </w:r>
      <w:r>
        <w:rPr>
          <w:rStyle w:val="FootnoteReference"/>
        </w:rPr>
        <w:footnoteReference w:id="1"/>
      </w:r>
      <w:r>
        <w:t xml:space="preserve"> </w:t>
      </w:r>
      <w:r w:rsidR="00F378D3">
        <w:t>The Standing Committee on Justice and Community Safety made one recommendation in</w:t>
      </w:r>
      <w:r w:rsidR="003816F2">
        <w:t xml:space="preserve"> its inquiry report</w:t>
      </w:r>
      <w:r>
        <w:t xml:space="preserve"> on the petition</w:t>
      </w:r>
      <w:r w:rsidR="00F378D3">
        <w:t>,</w:t>
      </w:r>
      <w:r w:rsidR="003816F2">
        <w:t xml:space="preserve"> </w:t>
      </w:r>
      <w:r w:rsidR="006D5355">
        <w:t>released on 23 June 2022</w:t>
      </w:r>
      <w:r w:rsidR="00A856B5">
        <w:t xml:space="preserve"> (the </w:t>
      </w:r>
      <w:r w:rsidR="00F378D3">
        <w:t xml:space="preserve">Standing Committee </w:t>
      </w:r>
      <w:r w:rsidR="00A856B5">
        <w:t>Report)</w:t>
      </w:r>
      <w:r w:rsidR="006D5355">
        <w:t xml:space="preserve">:  </w:t>
      </w:r>
    </w:p>
    <w:p w14:paraId="065B4B0C" w14:textId="7CD3138E" w:rsidR="006D5355" w:rsidRDefault="006D5355" w:rsidP="006D5355">
      <w:pPr>
        <w:pStyle w:val="BodyText1"/>
        <w:ind w:left="720"/>
      </w:pPr>
      <w:r>
        <w:t>The Committee recommends that the ACT Government support and enact the terms of the petition to create a system that mirrors the current approach with respect to discrimination complaints.</w:t>
      </w:r>
      <w:r>
        <w:rPr>
          <w:rStyle w:val="FootnoteReference"/>
        </w:rPr>
        <w:footnoteReference w:id="2"/>
      </w:r>
      <w:r>
        <w:t xml:space="preserve">  </w:t>
      </w:r>
    </w:p>
    <w:p w14:paraId="775AAC8D" w14:textId="77777777" w:rsidR="006D5355" w:rsidRDefault="006D5355" w:rsidP="006D5355">
      <w:pPr>
        <w:pStyle w:val="BodyText1"/>
      </w:pPr>
      <w:r>
        <w:t xml:space="preserve">In its response, the Government: </w:t>
      </w:r>
    </w:p>
    <w:p w14:paraId="6C9A88F8" w14:textId="638F387F" w:rsidR="006D5355" w:rsidRDefault="006D5355">
      <w:pPr>
        <w:pStyle w:val="BodyText1"/>
        <w:numPr>
          <w:ilvl w:val="0"/>
          <w:numId w:val="16"/>
        </w:numPr>
      </w:pPr>
      <w:r>
        <w:t xml:space="preserve">agreed to the proposal to enable a complaint about a breach of the Human Rights Act to be made to the </w:t>
      </w:r>
      <w:r w:rsidR="00A552A2">
        <w:t xml:space="preserve">ACT </w:t>
      </w:r>
      <w:r>
        <w:t xml:space="preserve">Human Rights Commission for confidential conciliation, and </w:t>
      </w:r>
    </w:p>
    <w:p w14:paraId="7F8573B9" w14:textId="77777777" w:rsidR="006D5355" w:rsidRDefault="006D5355">
      <w:pPr>
        <w:pStyle w:val="BodyText1"/>
        <w:numPr>
          <w:ilvl w:val="0"/>
          <w:numId w:val="16"/>
        </w:numPr>
      </w:pPr>
      <w:r>
        <w:t>agreed in principle to the proposal to enable a complaint about a breach of the Human Rights Act to be made to the ACT Civil and Administrative Tribunal (ACAT) for resolution if conciliation is unsuccessful.</w:t>
      </w:r>
      <w:r>
        <w:rPr>
          <w:rStyle w:val="FootnoteReference"/>
        </w:rPr>
        <w:footnoteReference w:id="3"/>
      </w:r>
      <w:r>
        <w:t xml:space="preserve"> </w:t>
      </w:r>
    </w:p>
    <w:p w14:paraId="74BCA85B" w14:textId="2DA91E46" w:rsidR="00BE37AE" w:rsidRDefault="006D5355" w:rsidP="00BE37AE">
      <w:pPr>
        <w:pStyle w:val="BodyText1"/>
      </w:pPr>
      <w:r>
        <w:t xml:space="preserve">The </w:t>
      </w:r>
      <w:r>
        <w:rPr>
          <w:i/>
          <w:iCs/>
        </w:rPr>
        <w:t>Human Rights (Complaints) Legislation Amendment Act 2023</w:t>
      </w:r>
      <w:r>
        <w:t xml:space="preserve"> passed on 28 November 2023 and introduced a new pathway for individuals to make a complaint to the ACT Human Rights Commission</w:t>
      </w:r>
      <w:r w:rsidR="00C05DD6">
        <w:t xml:space="preserve"> (the Commission)</w:t>
      </w:r>
      <w:r>
        <w:t xml:space="preserve"> </w:t>
      </w:r>
      <w:r w:rsidR="00C05DD6">
        <w:t xml:space="preserve">where a person believes that a public authority has acted in contravention of section 40B of the Human Rights Act (Public authorities must act consistently with human rights). The new complaints pathway commenced on 11 June 2024. </w:t>
      </w:r>
    </w:p>
    <w:p w14:paraId="2BEB1795" w14:textId="19D0A098" w:rsidR="0041085E" w:rsidRDefault="0041085E" w:rsidP="00D25CA5">
      <w:r>
        <w:t xml:space="preserve">The Government has committed to expanding </w:t>
      </w:r>
      <w:r w:rsidR="000C3392">
        <w:t>the</w:t>
      </w:r>
      <w:r>
        <w:t xml:space="preserve"> human rights complaints mechanism to include a pathway to ACAT. </w:t>
      </w:r>
    </w:p>
    <w:p w14:paraId="2F5AE2B5" w14:textId="77777777" w:rsidR="00B7173B" w:rsidRDefault="00B7173B" w:rsidP="00D25CA5">
      <w:pPr>
        <w:pStyle w:val="IntroParagraph"/>
      </w:pPr>
    </w:p>
    <w:p w14:paraId="5BBD9D1A" w14:textId="5E35A142" w:rsidR="00244F84" w:rsidRDefault="00F13527" w:rsidP="000C1A35">
      <w:pPr>
        <w:pStyle w:val="Heading3"/>
      </w:pPr>
      <w:bookmarkStart w:id="7" w:name="_Toc199342764"/>
      <w:r>
        <w:lastRenderedPageBreak/>
        <w:t xml:space="preserve">B. </w:t>
      </w:r>
      <w:r w:rsidR="00244F84">
        <w:t>Key Questions</w:t>
      </w:r>
      <w:r w:rsidR="000C3392">
        <w:t xml:space="preserve"> for Discussion</w:t>
      </w:r>
      <w:bookmarkEnd w:id="7"/>
    </w:p>
    <w:p w14:paraId="3D887A11" w14:textId="0EB72755" w:rsidR="00B26262" w:rsidRPr="00124A11" w:rsidRDefault="003B6820" w:rsidP="00A552A2">
      <w:pPr>
        <w:pStyle w:val="Boxed1Text"/>
        <w:rPr>
          <w:b/>
          <w:bCs/>
          <w:color w:val="7030A0"/>
          <w:sz w:val="28"/>
          <w:szCs w:val="28"/>
        </w:rPr>
      </w:pPr>
      <w:r w:rsidRPr="00124A11">
        <w:rPr>
          <w:b/>
          <w:bCs/>
          <w:color w:val="7030A0"/>
          <w:sz w:val="28"/>
          <w:szCs w:val="28"/>
        </w:rPr>
        <w:t xml:space="preserve">1. </w:t>
      </w:r>
      <w:r w:rsidR="00400994" w:rsidRPr="00124A11">
        <w:rPr>
          <w:b/>
          <w:bCs/>
          <w:color w:val="7030A0"/>
          <w:sz w:val="28"/>
          <w:szCs w:val="28"/>
        </w:rPr>
        <w:t>S</w:t>
      </w:r>
      <w:r w:rsidR="00124A11" w:rsidRPr="00124A11">
        <w:rPr>
          <w:b/>
          <w:bCs/>
          <w:color w:val="7030A0"/>
          <w:sz w:val="28"/>
          <w:szCs w:val="28"/>
        </w:rPr>
        <w:t xml:space="preserve">hould the ACAT pathway </w:t>
      </w:r>
      <w:r w:rsidR="001A58A7">
        <w:rPr>
          <w:b/>
          <w:bCs/>
          <w:color w:val="7030A0"/>
          <w:sz w:val="28"/>
          <w:szCs w:val="28"/>
        </w:rPr>
        <w:t>operate separately to</w:t>
      </w:r>
      <w:r w:rsidR="001A58A7" w:rsidRPr="00124A11">
        <w:rPr>
          <w:b/>
          <w:bCs/>
          <w:color w:val="7030A0"/>
          <w:sz w:val="28"/>
          <w:szCs w:val="28"/>
        </w:rPr>
        <w:t xml:space="preserve"> </w:t>
      </w:r>
      <w:r w:rsidR="00124A11" w:rsidRPr="00124A11">
        <w:rPr>
          <w:b/>
          <w:bCs/>
          <w:color w:val="7030A0"/>
          <w:sz w:val="28"/>
          <w:szCs w:val="28"/>
        </w:rPr>
        <w:t>the existing cause of action to the Supreme Court</w:t>
      </w:r>
      <w:r w:rsidR="001A58A7">
        <w:rPr>
          <w:b/>
          <w:bCs/>
          <w:color w:val="7030A0"/>
          <w:sz w:val="28"/>
          <w:szCs w:val="28"/>
        </w:rPr>
        <w:t>?</w:t>
      </w:r>
    </w:p>
    <w:p w14:paraId="26DA3802" w14:textId="77777777" w:rsidR="00400994" w:rsidRDefault="000C3392" w:rsidP="00D25CA5">
      <w:pPr>
        <w:pStyle w:val="Boxed1Heading"/>
      </w:pPr>
      <w:r w:rsidRPr="008A435A">
        <w:t>Option 1:</w:t>
      </w:r>
      <w:r w:rsidR="00400994">
        <w:t xml:space="preserve"> </w:t>
      </w:r>
      <w:r w:rsidR="00400994" w:rsidRPr="00400994">
        <w:t>ACAT Pathway supplements existing cause of action</w:t>
      </w:r>
      <w:r w:rsidRPr="008A435A">
        <w:t xml:space="preserve"> </w:t>
      </w:r>
    </w:p>
    <w:p w14:paraId="5957A627" w14:textId="4DD66122" w:rsidR="000C3392" w:rsidRDefault="00400994" w:rsidP="00400994">
      <w:pPr>
        <w:pStyle w:val="Boxed1Bullet"/>
      </w:pPr>
      <w:r>
        <w:t xml:space="preserve">A person </w:t>
      </w:r>
      <w:r w:rsidR="001F05B7" w:rsidRPr="008A435A">
        <w:t>may commence proceedings</w:t>
      </w:r>
      <w:r>
        <w:t xml:space="preserve"> about a breach of human rights</w:t>
      </w:r>
      <w:r w:rsidR="001F05B7" w:rsidRPr="008A435A">
        <w:t xml:space="preserve"> in the Supreme Court at any time</w:t>
      </w:r>
      <w:r w:rsidR="00A552A2" w:rsidRPr="00A552A2">
        <w:t xml:space="preserve"> </w:t>
      </w:r>
      <w:r>
        <w:t xml:space="preserve">without having first applied to </w:t>
      </w:r>
      <w:r w:rsidR="001A58A7">
        <w:t xml:space="preserve">the Human Rights Commission or </w:t>
      </w:r>
      <w:r>
        <w:t>ACAT</w:t>
      </w:r>
      <w:r w:rsidR="001F05B7" w:rsidRPr="008A435A">
        <w:t>.</w:t>
      </w:r>
    </w:p>
    <w:p w14:paraId="42C3E0AE" w14:textId="121AC63E" w:rsidR="00400994" w:rsidRDefault="000C3392" w:rsidP="00D25CA5">
      <w:pPr>
        <w:pStyle w:val="Boxed1Heading"/>
      </w:pPr>
      <w:r w:rsidRPr="008A435A">
        <w:t xml:space="preserve">Option 2: </w:t>
      </w:r>
      <w:r w:rsidR="00400994" w:rsidRPr="00400994">
        <w:t>ACAT pathway replaces existing cause of action</w:t>
      </w:r>
    </w:p>
    <w:p w14:paraId="6F7E42EF" w14:textId="112F01D1" w:rsidR="000C3392" w:rsidRPr="008A435A" w:rsidRDefault="001F05B7" w:rsidP="00D25CA5">
      <w:pPr>
        <w:pStyle w:val="Boxed1Bullet"/>
      </w:pPr>
      <w:r w:rsidRPr="008A435A">
        <w:t xml:space="preserve">A person may </w:t>
      </w:r>
      <w:r w:rsidRPr="00D25CA5">
        <w:rPr>
          <w:u w:val="single"/>
        </w:rPr>
        <w:t>only</w:t>
      </w:r>
      <w:r w:rsidRPr="008A435A">
        <w:t xml:space="preserve"> have their</w:t>
      </w:r>
      <w:r w:rsidR="00400994">
        <w:t xml:space="preserve"> claim about a breach of</w:t>
      </w:r>
      <w:r w:rsidRPr="008A435A">
        <w:t xml:space="preserve"> </w:t>
      </w:r>
      <w:r w:rsidR="00B131AA">
        <w:t xml:space="preserve">human rights </w:t>
      </w:r>
      <w:r w:rsidRPr="008A435A">
        <w:t>heard by the Supreme Court</w:t>
      </w:r>
      <w:r w:rsidR="00431387" w:rsidRPr="008A435A">
        <w:t xml:space="preserve"> on appeal from ACAT, on referral from ACAT or in proceedings commenced under another law</w:t>
      </w:r>
      <w:r w:rsidR="00400994">
        <w:t xml:space="preserve">. </w:t>
      </w:r>
    </w:p>
    <w:p w14:paraId="78DCD83C" w14:textId="77777777" w:rsidR="008275BC" w:rsidRPr="008A435A" w:rsidRDefault="008275BC" w:rsidP="00A552A2">
      <w:pPr>
        <w:pStyle w:val="Boxed1Text"/>
      </w:pPr>
    </w:p>
    <w:p w14:paraId="4EC6D762" w14:textId="6B122DDA" w:rsidR="00712873" w:rsidRPr="00124A11" w:rsidRDefault="003B6820" w:rsidP="00A552A2">
      <w:pPr>
        <w:pStyle w:val="Boxed1Text"/>
        <w:rPr>
          <w:b/>
          <w:bCs/>
          <w:color w:val="7030A0"/>
          <w:sz w:val="28"/>
          <w:szCs w:val="28"/>
        </w:rPr>
      </w:pPr>
      <w:r w:rsidRPr="00124A11">
        <w:rPr>
          <w:b/>
          <w:bCs/>
          <w:color w:val="7030A0"/>
          <w:sz w:val="28"/>
          <w:szCs w:val="28"/>
        </w:rPr>
        <w:t xml:space="preserve">2. </w:t>
      </w:r>
      <w:r w:rsidR="00124A11" w:rsidRPr="00124A11">
        <w:rPr>
          <w:b/>
          <w:bCs/>
          <w:color w:val="7030A0"/>
          <w:sz w:val="28"/>
          <w:szCs w:val="28"/>
        </w:rPr>
        <w:t>What remedies should be available</w:t>
      </w:r>
      <w:r w:rsidR="00400994" w:rsidRPr="00124A11">
        <w:rPr>
          <w:b/>
          <w:bCs/>
          <w:color w:val="7030A0"/>
          <w:sz w:val="28"/>
          <w:szCs w:val="28"/>
        </w:rPr>
        <w:t xml:space="preserve">? </w:t>
      </w:r>
    </w:p>
    <w:p w14:paraId="12F66296" w14:textId="77777777" w:rsidR="00CE2F02" w:rsidRPr="00CE2F02" w:rsidRDefault="00CE2F02" w:rsidP="00D25CA5">
      <w:pPr>
        <w:pStyle w:val="Boxed1Bullet"/>
        <w:numPr>
          <w:ilvl w:val="0"/>
          <w:numId w:val="0"/>
        </w:numPr>
        <w:ind w:left="567" w:hanging="283"/>
        <w:rPr>
          <w:b/>
          <w:bCs/>
        </w:rPr>
      </w:pPr>
      <w:r w:rsidRPr="00D25CA5">
        <w:rPr>
          <w:b/>
          <w:bCs/>
        </w:rPr>
        <w:t xml:space="preserve">Option 1: </w:t>
      </w:r>
      <w:r w:rsidRPr="00CE2F02">
        <w:rPr>
          <w:b/>
          <w:bCs/>
        </w:rPr>
        <w:t>Replicate</w:t>
      </w:r>
      <w:r w:rsidRPr="00D25CA5">
        <w:rPr>
          <w:b/>
          <w:bCs/>
        </w:rPr>
        <w:t xml:space="preserve"> section 40</w:t>
      </w:r>
      <w:proofErr w:type="gramStart"/>
      <w:r w:rsidRPr="00D25CA5">
        <w:rPr>
          <w:b/>
          <w:bCs/>
        </w:rPr>
        <w:t>C(</w:t>
      </w:r>
      <w:proofErr w:type="gramEnd"/>
      <w:r w:rsidRPr="00D25CA5">
        <w:rPr>
          <w:b/>
          <w:bCs/>
        </w:rPr>
        <w:t xml:space="preserve">6) of Human Rights Act </w:t>
      </w:r>
    </w:p>
    <w:p w14:paraId="5BFE9B30" w14:textId="41BAFC1C" w:rsidR="008275BC" w:rsidRPr="008A435A" w:rsidRDefault="00B131AA" w:rsidP="00D25CA5">
      <w:pPr>
        <w:pStyle w:val="Boxed1Bullet"/>
      </w:pPr>
      <w:r>
        <w:t>Allow ACAT to exercise the same powers as the</w:t>
      </w:r>
      <w:r w:rsidR="00431387" w:rsidRPr="008A435A">
        <w:t xml:space="preserve"> Supreme Court</w:t>
      </w:r>
      <w:r w:rsidR="00C274DB">
        <w:t xml:space="preserve"> –</w:t>
      </w:r>
      <w:r>
        <w:t xml:space="preserve"> </w:t>
      </w:r>
      <w:r w:rsidR="00400994">
        <w:t>to</w:t>
      </w:r>
      <w:r w:rsidR="002B4D52">
        <w:t xml:space="preserve"> </w:t>
      </w:r>
      <w:r w:rsidR="002B4D52" w:rsidRPr="008A435A">
        <w:t>grant the relief it considers appropriate except damages</w:t>
      </w:r>
      <w:r w:rsidR="008275BC" w:rsidRPr="008A435A">
        <w:t xml:space="preserve">. </w:t>
      </w:r>
    </w:p>
    <w:p w14:paraId="7B6A3FAF" w14:textId="77777777" w:rsidR="00CE2F02" w:rsidRPr="00D25CA5" w:rsidRDefault="00CE2F02" w:rsidP="00D25CA5">
      <w:pPr>
        <w:pStyle w:val="Boxed1Bullet"/>
        <w:numPr>
          <w:ilvl w:val="0"/>
          <w:numId w:val="0"/>
        </w:numPr>
        <w:ind w:left="284"/>
        <w:rPr>
          <w:b/>
        </w:rPr>
      </w:pPr>
      <w:r w:rsidRPr="00D25CA5">
        <w:rPr>
          <w:b/>
        </w:rPr>
        <w:t>Option 2: Replicate section 53E of the Human Rights Commission Act</w:t>
      </w:r>
    </w:p>
    <w:p w14:paraId="04ED5AC9" w14:textId="14A69A6A" w:rsidR="008A37EC" w:rsidRPr="00205CEB" w:rsidRDefault="008275BC" w:rsidP="00C274DB">
      <w:pPr>
        <w:pStyle w:val="Boxed1Bullet"/>
      </w:pPr>
      <w:r w:rsidRPr="00205CEB">
        <w:t xml:space="preserve">Replicate </w:t>
      </w:r>
      <w:r w:rsidR="00431387" w:rsidRPr="00205CEB">
        <w:t xml:space="preserve">ACAT’s powers to deal with discrimination complaints </w:t>
      </w:r>
      <w:r w:rsidR="00B131AA" w:rsidRPr="00205CEB">
        <w:t>(without damages)</w:t>
      </w:r>
      <w:r w:rsidRPr="00205CEB">
        <w:t xml:space="preserve">. </w:t>
      </w:r>
    </w:p>
    <w:p w14:paraId="139ED41B" w14:textId="77777777" w:rsidR="003C338C" w:rsidRPr="00205CEB" w:rsidRDefault="003C338C" w:rsidP="008A37EC">
      <w:pPr>
        <w:pStyle w:val="Boxed1Bullet"/>
        <w:numPr>
          <w:ilvl w:val="0"/>
          <w:numId w:val="0"/>
        </w:numPr>
        <w:ind w:left="567" w:hanging="283"/>
      </w:pPr>
    </w:p>
    <w:p w14:paraId="629239B4" w14:textId="498A7F65" w:rsidR="003C338C" w:rsidRDefault="003C338C" w:rsidP="00D25CA5">
      <w:pPr>
        <w:pStyle w:val="Boxed1Heading"/>
        <w:rPr>
          <w:color w:val="7030A0"/>
          <w:sz w:val="28"/>
          <w:szCs w:val="28"/>
        </w:rPr>
      </w:pPr>
      <w:r w:rsidRPr="00EB0F8C">
        <w:rPr>
          <w:color w:val="7030A0"/>
          <w:sz w:val="28"/>
          <w:szCs w:val="28"/>
        </w:rPr>
        <w:t xml:space="preserve">3. </w:t>
      </w:r>
      <w:r w:rsidR="00124A11" w:rsidRPr="00124A11">
        <w:rPr>
          <w:color w:val="7030A0"/>
          <w:sz w:val="28"/>
          <w:szCs w:val="28"/>
        </w:rPr>
        <w:t xml:space="preserve">How should human rights breaches be </w:t>
      </w:r>
      <w:r w:rsidR="004D2AB7">
        <w:rPr>
          <w:color w:val="7030A0"/>
          <w:sz w:val="28"/>
          <w:szCs w:val="28"/>
        </w:rPr>
        <w:t>dealt with</w:t>
      </w:r>
      <w:r w:rsidR="00124A11" w:rsidRPr="00124A11">
        <w:rPr>
          <w:color w:val="7030A0"/>
          <w:sz w:val="28"/>
          <w:szCs w:val="28"/>
        </w:rPr>
        <w:t xml:space="preserve"> if they are raised in other proceedings</w:t>
      </w:r>
      <w:r w:rsidR="005D713B">
        <w:rPr>
          <w:color w:val="7030A0"/>
          <w:sz w:val="28"/>
          <w:szCs w:val="28"/>
        </w:rPr>
        <w:t xml:space="preserve"> </w:t>
      </w:r>
      <w:r w:rsidR="001A58A7">
        <w:rPr>
          <w:bCs/>
          <w:color w:val="7030A0"/>
          <w:sz w:val="28"/>
          <w:szCs w:val="28"/>
        </w:rPr>
        <w:t>(</w:t>
      </w:r>
      <w:r w:rsidR="005D713B" w:rsidRPr="008F0F2C">
        <w:rPr>
          <w:bCs/>
          <w:color w:val="7030A0"/>
          <w:sz w:val="28"/>
          <w:szCs w:val="28"/>
        </w:rPr>
        <w:t>‘piggyback’ claims)</w:t>
      </w:r>
      <w:r w:rsidRPr="008F0F2C">
        <w:rPr>
          <w:color w:val="7030A0"/>
          <w:sz w:val="28"/>
          <w:szCs w:val="28"/>
        </w:rPr>
        <w:t>?</w:t>
      </w:r>
    </w:p>
    <w:p w14:paraId="1F07F470" w14:textId="567E8AAE" w:rsidR="00124A11" w:rsidRDefault="00124A11" w:rsidP="005D713B">
      <w:pPr>
        <w:pStyle w:val="Boxed1Bullet"/>
        <w:numPr>
          <w:ilvl w:val="0"/>
          <w:numId w:val="0"/>
        </w:numPr>
        <w:ind w:left="567" w:hanging="283"/>
        <w:rPr>
          <w:b/>
          <w:bCs/>
        </w:rPr>
      </w:pPr>
      <w:r w:rsidRPr="008F0F2C">
        <w:rPr>
          <w:b/>
          <w:bCs/>
        </w:rPr>
        <w:t xml:space="preserve">Option 1: Amend the Human Rights Act to provide that the ACAT and </w:t>
      </w:r>
      <w:r w:rsidR="004D2AB7">
        <w:rPr>
          <w:b/>
          <w:bCs/>
        </w:rPr>
        <w:t>lower</w:t>
      </w:r>
      <w:r w:rsidRPr="008F0F2C">
        <w:rPr>
          <w:b/>
          <w:bCs/>
        </w:rPr>
        <w:t xml:space="preserve"> Courts can consider and grant relief for breaches of human rights </w:t>
      </w:r>
      <w:r w:rsidR="008F0F2C">
        <w:rPr>
          <w:b/>
          <w:bCs/>
        </w:rPr>
        <w:t>that are</w:t>
      </w:r>
      <w:r w:rsidRPr="008F0F2C">
        <w:rPr>
          <w:b/>
          <w:bCs/>
        </w:rPr>
        <w:t xml:space="preserve"> raised in other proceedings </w:t>
      </w:r>
    </w:p>
    <w:p w14:paraId="75D5BB4C" w14:textId="53300075" w:rsidR="005D713B" w:rsidRPr="008F0F2C" w:rsidRDefault="005D713B" w:rsidP="008F0F2C">
      <w:pPr>
        <w:pStyle w:val="Boxed1Bullet"/>
      </w:pPr>
      <w:r w:rsidRPr="005D713B">
        <w:t xml:space="preserve">This would allow the ACAT and </w:t>
      </w:r>
      <w:r w:rsidR="004D2AB7">
        <w:t>lower</w:t>
      </w:r>
      <w:r w:rsidRPr="005D713B">
        <w:t xml:space="preserve"> </w:t>
      </w:r>
      <w:r w:rsidR="001A58A7">
        <w:t>C</w:t>
      </w:r>
      <w:r w:rsidRPr="005D713B">
        <w:t>ourts to order a wider range of remedies</w:t>
      </w:r>
      <w:r w:rsidR="001A58A7">
        <w:t xml:space="preserve"> where human rights breaches are raised as part of other proceedings.</w:t>
      </w:r>
    </w:p>
    <w:p w14:paraId="1F87208A" w14:textId="14D34939" w:rsidR="00124A11" w:rsidRDefault="00124A11" w:rsidP="00D25CA5">
      <w:pPr>
        <w:pStyle w:val="Boxed1Heading"/>
        <w:rPr>
          <w:bCs/>
          <w:szCs w:val="22"/>
        </w:rPr>
      </w:pPr>
      <w:r w:rsidRPr="008F0F2C">
        <w:rPr>
          <w:bCs/>
          <w:szCs w:val="22"/>
        </w:rPr>
        <w:t xml:space="preserve">Option 2: </w:t>
      </w:r>
      <w:r w:rsidR="001A58A7">
        <w:rPr>
          <w:bCs/>
          <w:szCs w:val="22"/>
        </w:rPr>
        <w:t>No change</w:t>
      </w:r>
    </w:p>
    <w:p w14:paraId="37F617B7" w14:textId="659D316F" w:rsidR="005D713B" w:rsidRPr="005D713B" w:rsidRDefault="005D713B" w:rsidP="008F0F2C">
      <w:pPr>
        <w:pStyle w:val="Boxed1Bullet"/>
      </w:pPr>
      <w:r w:rsidRPr="005D713B">
        <w:t>Th</w:t>
      </w:r>
      <w:r w:rsidR="001A58A7">
        <w:t>ere would continue to be limited remedies available for human rights breaches raised in other proceedings.</w:t>
      </w:r>
    </w:p>
    <w:p w14:paraId="517DCAAF" w14:textId="77777777" w:rsidR="00B7173B" w:rsidRDefault="00B7173B" w:rsidP="000C1A35">
      <w:pPr>
        <w:pStyle w:val="Heading3"/>
      </w:pPr>
    </w:p>
    <w:p w14:paraId="09B91539" w14:textId="401DC791" w:rsidR="00244F84" w:rsidRDefault="00F13527" w:rsidP="000C1A35">
      <w:pPr>
        <w:pStyle w:val="Heading3"/>
      </w:pPr>
      <w:bookmarkStart w:id="8" w:name="_Toc199342765"/>
      <w:r>
        <w:t xml:space="preserve">C. </w:t>
      </w:r>
      <w:r w:rsidR="00244F84">
        <w:t>Making a Submission</w:t>
      </w:r>
      <w:bookmarkEnd w:id="8"/>
    </w:p>
    <w:p w14:paraId="6A2FFDB8" w14:textId="3CB1016F" w:rsidR="008275BC" w:rsidRDefault="008275BC" w:rsidP="008275BC">
      <w:r>
        <w:t xml:space="preserve">Submissions may be made in writing to </w:t>
      </w:r>
      <w:hyperlink r:id="rId17" w:history="1">
        <w:r w:rsidRPr="005A3FA9">
          <w:rPr>
            <w:rStyle w:val="Hyperlink"/>
          </w:rPr>
          <w:t>civilconsultation@act.gov.au</w:t>
        </w:r>
      </w:hyperlink>
      <w:r>
        <w:t xml:space="preserve">. The closing date for submissions is </w:t>
      </w:r>
      <w:r w:rsidR="00860059">
        <w:rPr>
          <w:b/>
          <w:bCs/>
        </w:rPr>
        <w:t>Friday 2</w:t>
      </w:r>
      <w:r w:rsidR="00721DE7">
        <w:rPr>
          <w:b/>
          <w:bCs/>
        </w:rPr>
        <w:t>1</w:t>
      </w:r>
      <w:r w:rsidR="00860059">
        <w:rPr>
          <w:b/>
          <w:bCs/>
        </w:rPr>
        <w:t xml:space="preserve"> August 2026. </w:t>
      </w:r>
      <w:r>
        <w:t xml:space="preserve"> </w:t>
      </w:r>
      <w:r w:rsidR="00124DB3" w:rsidRPr="00267549">
        <w:t>Individual submissions will not be published, but a consolidated summary report will be prepared and published online.</w:t>
      </w:r>
    </w:p>
    <w:p w14:paraId="37CB0D74" w14:textId="7372D783" w:rsidR="008275BC" w:rsidRPr="008275BC" w:rsidRDefault="008275BC" w:rsidP="008275BC">
      <w:r>
        <w:t>If you have any questions about the Discussion Paper or making a submission (including any reasonable adjustments), please contact</w:t>
      </w:r>
      <w:r w:rsidR="00FE39FF">
        <w:t xml:space="preserve"> </w:t>
      </w:r>
      <w:hyperlink r:id="rId18" w:history="1">
        <w:r w:rsidR="00FE39FF" w:rsidRPr="00AC0DB2">
          <w:rPr>
            <w:rStyle w:val="Hyperlink"/>
          </w:rPr>
          <w:t>civilcconsultation@act.gov.au</w:t>
        </w:r>
      </w:hyperlink>
      <w:r>
        <w:t>.</w:t>
      </w:r>
      <w:r w:rsidR="00FE39FF">
        <w:t xml:space="preserve"> </w:t>
      </w:r>
      <w:r>
        <w:t xml:space="preserve"> </w:t>
      </w:r>
    </w:p>
    <w:p w14:paraId="45A81D3E" w14:textId="35F2CEA2" w:rsidR="00244F84" w:rsidRDefault="00EE6687" w:rsidP="00244F84">
      <w:pPr>
        <w:pStyle w:val="Heading2"/>
      </w:pPr>
      <w:bookmarkStart w:id="9" w:name="_Toc199342766"/>
      <w:r>
        <w:lastRenderedPageBreak/>
        <w:t xml:space="preserve">3. </w:t>
      </w:r>
      <w:r w:rsidR="00E6370A">
        <w:t>Structure of the ACAT Pathway</w:t>
      </w:r>
      <w:bookmarkEnd w:id="9"/>
    </w:p>
    <w:p w14:paraId="5D29808E" w14:textId="14CE44DC" w:rsidR="00E6370A" w:rsidRDefault="00E6370A" w:rsidP="008A37EC">
      <w:r>
        <w:t xml:space="preserve">Under section 40B of the Human Rights Act, it is unlawful for a public authority: </w:t>
      </w:r>
    </w:p>
    <w:p w14:paraId="1C35B3EF" w14:textId="48346FBB" w:rsidR="00E6370A" w:rsidRDefault="00FD551E" w:rsidP="008A37EC">
      <w:pPr>
        <w:pStyle w:val="ListParagraph"/>
        <w:numPr>
          <w:ilvl w:val="0"/>
          <w:numId w:val="18"/>
        </w:numPr>
      </w:pPr>
      <w:r>
        <w:t xml:space="preserve">to </w:t>
      </w:r>
      <w:r w:rsidR="00E6370A">
        <w:t>act in a way that is incompatible with a human right; or</w:t>
      </w:r>
    </w:p>
    <w:p w14:paraId="5344A453" w14:textId="77777777" w:rsidR="00E6370A" w:rsidRDefault="00E6370A" w:rsidP="008A37EC">
      <w:pPr>
        <w:pStyle w:val="ListParagraph"/>
        <w:numPr>
          <w:ilvl w:val="0"/>
          <w:numId w:val="18"/>
        </w:numPr>
      </w:pPr>
      <w:r>
        <w:t xml:space="preserve">in </w:t>
      </w:r>
      <w:proofErr w:type="gramStart"/>
      <w:r>
        <w:t>making a decision</w:t>
      </w:r>
      <w:proofErr w:type="gramEnd"/>
      <w:r>
        <w:t xml:space="preserve">, to fail to </w:t>
      </w:r>
      <w:proofErr w:type="gramStart"/>
      <w:r>
        <w:t>give proper consideration to</w:t>
      </w:r>
      <w:proofErr w:type="gramEnd"/>
      <w:r>
        <w:t xml:space="preserve"> a relevant human right. </w:t>
      </w:r>
    </w:p>
    <w:p w14:paraId="2D5B929F" w14:textId="43A42ED8" w:rsidR="00543025" w:rsidRDefault="00E6370A" w:rsidP="008A37EC">
      <w:r>
        <w:t>Currently, a person may</w:t>
      </w:r>
      <w:r w:rsidR="00F87376">
        <w:t>:</w:t>
      </w:r>
      <w:r>
        <w:t xml:space="preserve"> </w:t>
      </w:r>
    </w:p>
    <w:p w14:paraId="1BD68E8D" w14:textId="1EB2F88D" w:rsidR="00F87376" w:rsidRDefault="00E6370A" w:rsidP="008A37EC">
      <w:pPr>
        <w:pStyle w:val="ListParagraph"/>
        <w:numPr>
          <w:ilvl w:val="0"/>
          <w:numId w:val="24"/>
        </w:numPr>
      </w:pPr>
      <w:r>
        <w:t xml:space="preserve">make a </w:t>
      </w:r>
      <w:r w:rsidR="00F87376">
        <w:t xml:space="preserve">human rights </w:t>
      </w:r>
      <w:r>
        <w:t xml:space="preserve">complaint to the Commission, </w:t>
      </w:r>
    </w:p>
    <w:p w14:paraId="7C90C99C" w14:textId="77777777" w:rsidR="00F87376" w:rsidRDefault="00E6370A" w:rsidP="008A37EC">
      <w:pPr>
        <w:pStyle w:val="ListParagraph"/>
        <w:numPr>
          <w:ilvl w:val="0"/>
          <w:numId w:val="24"/>
        </w:numPr>
      </w:pPr>
      <w:r>
        <w:t xml:space="preserve">commence proceedings in the ACT Supreme Court about an alleged breach of rights by a public authority under the Human Rights Act, or </w:t>
      </w:r>
    </w:p>
    <w:p w14:paraId="5242B8ED" w14:textId="0ECA28ED" w:rsidR="00E6370A" w:rsidRDefault="00E6370A" w:rsidP="006C6530">
      <w:pPr>
        <w:pStyle w:val="ListParagraph"/>
        <w:numPr>
          <w:ilvl w:val="0"/>
          <w:numId w:val="24"/>
        </w:numPr>
      </w:pPr>
      <w:r>
        <w:t>rely on their rights under the Human Rights Act in other legal proceedings.</w:t>
      </w:r>
    </w:p>
    <w:p w14:paraId="18B6DD16" w14:textId="311CF32E" w:rsidR="00BB2057" w:rsidRDefault="00BB2057" w:rsidP="008A37EC">
      <w:r>
        <w:t xml:space="preserve">The first key question in this Discussion Paper is how a pathway to ACAT will fit within the existing human rights </w:t>
      </w:r>
      <w:r w:rsidR="009E6F8A">
        <w:t xml:space="preserve">complaints </w:t>
      </w:r>
      <w:r>
        <w:t xml:space="preserve">framework, and how ACAT will interact with the ACT Supreme Court’s jurisdiction under the Human Rights Act. </w:t>
      </w:r>
    </w:p>
    <w:p w14:paraId="16E1E5A6" w14:textId="4CE23143" w:rsidR="00EB5DE3" w:rsidRDefault="00EB5DE3" w:rsidP="008A37EC">
      <w:r>
        <w:t xml:space="preserve">This section will examine the existing complaints mechanisms in the ACT, compare them with the approaches in Victoria and Queensland, </w:t>
      </w:r>
      <w:r w:rsidR="0090471C">
        <w:t xml:space="preserve">and propose two possible models for consideration. </w:t>
      </w:r>
    </w:p>
    <w:p w14:paraId="0E69F29F" w14:textId="77777777" w:rsidR="00BB2057" w:rsidRPr="00E6370A" w:rsidRDefault="00BB2057" w:rsidP="00A552A2"/>
    <w:p w14:paraId="66469E33" w14:textId="07A0A918" w:rsidR="004E2317" w:rsidRDefault="00EE6687" w:rsidP="00A552A2">
      <w:pPr>
        <w:pStyle w:val="Heading3"/>
      </w:pPr>
      <w:bookmarkStart w:id="10" w:name="_Toc199342767"/>
      <w:r>
        <w:t xml:space="preserve">A. </w:t>
      </w:r>
      <w:r w:rsidR="00895335">
        <w:t>ACT Human Rights Commission Complaints</w:t>
      </w:r>
      <w:bookmarkEnd w:id="10"/>
    </w:p>
    <w:p w14:paraId="5797EF24" w14:textId="5C9BA940" w:rsidR="00DF3C80" w:rsidRDefault="00F13527" w:rsidP="00DF3C80">
      <w:pPr>
        <w:pStyle w:val="Heading4"/>
      </w:pPr>
      <w:proofErr w:type="spellStart"/>
      <w:r>
        <w:t>i</w:t>
      </w:r>
      <w:proofErr w:type="spellEnd"/>
      <w:r>
        <w:t xml:space="preserve">. </w:t>
      </w:r>
      <w:r w:rsidR="00DF3C80">
        <w:t>Complaint to the ACT Human Rights Commission</w:t>
      </w:r>
    </w:p>
    <w:p w14:paraId="3206BAA7" w14:textId="5572FCCD" w:rsidR="00244F84" w:rsidRDefault="00801A60" w:rsidP="00244F84">
      <w:r>
        <w:t>A</w:t>
      </w:r>
      <w:r w:rsidR="00244F84">
        <w:t xml:space="preserve"> person may complain to the Commission about a contravention of section 40B of the Human Rights Act by a public authority.</w:t>
      </w:r>
      <w:r w:rsidR="00244F84">
        <w:rPr>
          <w:rStyle w:val="FootnoteReference"/>
        </w:rPr>
        <w:footnoteReference w:id="4"/>
      </w:r>
      <w:r w:rsidR="00244F84">
        <w:t xml:space="preserve"> </w:t>
      </w:r>
    </w:p>
    <w:p w14:paraId="6EA436FF" w14:textId="7ACB2E84" w:rsidR="00DF4992" w:rsidRDefault="00DF3C80" w:rsidP="00244F84">
      <w:r>
        <w:t xml:space="preserve">Under the </w:t>
      </w:r>
      <w:r w:rsidRPr="00BD2D8F">
        <w:rPr>
          <w:i/>
          <w:iCs/>
        </w:rPr>
        <w:t>Human Rights Commission Act</w:t>
      </w:r>
      <w:r w:rsidR="00BD2D8F">
        <w:rPr>
          <w:i/>
          <w:iCs/>
        </w:rPr>
        <w:t xml:space="preserve"> 2005</w:t>
      </w:r>
      <w:r>
        <w:t>, the Commission is able to</w:t>
      </w:r>
      <w:r w:rsidR="00DF4992">
        <w:t>:</w:t>
      </w:r>
      <w:r>
        <w:t xml:space="preserve"> </w:t>
      </w:r>
    </w:p>
    <w:p w14:paraId="4A1BB485" w14:textId="77777777" w:rsidR="00DF4992" w:rsidRDefault="00DF3C80">
      <w:pPr>
        <w:pStyle w:val="ListParagraph"/>
        <w:numPr>
          <w:ilvl w:val="0"/>
          <w:numId w:val="17"/>
        </w:numPr>
      </w:pPr>
      <w:r>
        <w:t>investigate</w:t>
      </w:r>
      <w:r w:rsidR="00DF4992">
        <w:t xml:space="preserve"> complaints, </w:t>
      </w:r>
    </w:p>
    <w:p w14:paraId="41C8DDCB" w14:textId="77777777" w:rsidR="00DF4992" w:rsidRDefault="00DF4992">
      <w:pPr>
        <w:pStyle w:val="ListParagraph"/>
        <w:numPr>
          <w:ilvl w:val="0"/>
          <w:numId w:val="17"/>
        </w:numPr>
      </w:pPr>
      <w:r>
        <w:t xml:space="preserve">request information, </w:t>
      </w:r>
    </w:p>
    <w:p w14:paraId="38A7BCCE" w14:textId="77777777" w:rsidR="00DF4992" w:rsidRDefault="00DF4992">
      <w:pPr>
        <w:pStyle w:val="ListParagraph"/>
        <w:numPr>
          <w:ilvl w:val="0"/>
          <w:numId w:val="17"/>
        </w:numPr>
      </w:pPr>
      <w:r>
        <w:t xml:space="preserve">offer confidential conciliation, </w:t>
      </w:r>
    </w:p>
    <w:p w14:paraId="0D83AAC3" w14:textId="77777777" w:rsidR="00DF4992" w:rsidRDefault="00DF4992">
      <w:pPr>
        <w:pStyle w:val="ListParagraph"/>
        <w:numPr>
          <w:ilvl w:val="0"/>
          <w:numId w:val="17"/>
        </w:numPr>
      </w:pPr>
      <w:r>
        <w:t xml:space="preserve">close complaints, </w:t>
      </w:r>
    </w:p>
    <w:p w14:paraId="5C5D4725" w14:textId="77777777" w:rsidR="00DF4992" w:rsidRDefault="00DF4992">
      <w:pPr>
        <w:pStyle w:val="ListParagraph"/>
        <w:numPr>
          <w:ilvl w:val="0"/>
          <w:numId w:val="17"/>
        </w:numPr>
      </w:pPr>
      <w:r>
        <w:t xml:space="preserve">make a final report and </w:t>
      </w:r>
    </w:p>
    <w:p w14:paraId="15418675" w14:textId="0F3AC326" w:rsidR="00DF3C80" w:rsidRDefault="00DF4992">
      <w:pPr>
        <w:pStyle w:val="ListParagraph"/>
        <w:numPr>
          <w:ilvl w:val="0"/>
          <w:numId w:val="17"/>
        </w:numPr>
      </w:pPr>
      <w:r>
        <w:t xml:space="preserve">make recommendations. </w:t>
      </w:r>
    </w:p>
    <w:p w14:paraId="551F89D2" w14:textId="145A8991" w:rsidR="007D0775" w:rsidRDefault="000F5E00" w:rsidP="000F5E00">
      <w:r>
        <w:t xml:space="preserve">However, the person is </w:t>
      </w:r>
      <w:r w:rsidR="00354224">
        <w:t xml:space="preserve">first </w:t>
      </w:r>
      <w:r>
        <w:t xml:space="preserve">required to make the complaint </w:t>
      </w:r>
      <w:r w:rsidR="00897E0C">
        <w:t xml:space="preserve">directly </w:t>
      </w:r>
      <w:r>
        <w:t xml:space="preserve">to the relevant person about the contravention </w:t>
      </w:r>
      <w:proofErr w:type="gramStart"/>
      <w:r>
        <w:t>claimed, and</w:t>
      </w:r>
      <w:proofErr w:type="gramEnd"/>
      <w:r>
        <w:t xml:space="preserve"> may only complain to the Commission if they have not received a response within 45</w:t>
      </w:r>
      <w:r w:rsidR="00D37231">
        <w:t> </w:t>
      </w:r>
      <w:r>
        <w:t>days, or if the response they received was inadequate.</w:t>
      </w:r>
      <w:r>
        <w:rPr>
          <w:rStyle w:val="FootnoteReference"/>
        </w:rPr>
        <w:footnoteReference w:id="5"/>
      </w:r>
      <w:r>
        <w:t xml:space="preserve"> </w:t>
      </w:r>
    </w:p>
    <w:p w14:paraId="51FC519D" w14:textId="77777777" w:rsidR="004E2548" w:rsidRDefault="00A856B5" w:rsidP="000F5E00">
      <w:r>
        <w:lastRenderedPageBreak/>
        <w:t xml:space="preserve">The Commission has discretion to accept complaints without requiring the complainant to wait 45 days </w:t>
      </w:r>
      <w:r w:rsidR="00F90BB9">
        <w:t>where the person makes another complaint under the Human Rights Commission Act about the same act, circumstances or subject matter, or in exceptional circumstances.</w:t>
      </w:r>
      <w:r w:rsidR="00F90BB9">
        <w:rPr>
          <w:rStyle w:val="FootnoteReference"/>
        </w:rPr>
        <w:footnoteReference w:id="6"/>
      </w:r>
      <w:r w:rsidR="00F90BB9">
        <w:t xml:space="preserve"> </w:t>
      </w:r>
    </w:p>
    <w:p w14:paraId="54EC4B8E" w14:textId="443296FC" w:rsidR="000F5E00" w:rsidRDefault="004E2548" w:rsidP="000F5E00">
      <w:r>
        <w:t>Conciliation can be an effective alternative dispute resolution mechanism which assists parties to resolve disputes efficiently, flexibly and confidentially.</w:t>
      </w:r>
    </w:p>
    <w:p w14:paraId="27F419E5" w14:textId="68F5A145" w:rsidR="00CE59A4" w:rsidRPr="00A552A2" w:rsidRDefault="00D12EF7" w:rsidP="000F5E00">
      <w:pPr>
        <w:rPr>
          <w:u w:val="single"/>
        </w:rPr>
      </w:pPr>
      <w:r>
        <w:rPr>
          <w:u w:val="single"/>
        </w:rPr>
        <w:t>Victoria</w:t>
      </w:r>
    </w:p>
    <w:p w14:paraId="16F3E9F3" w14:textId="4B2F7897" w:rsidR="000253B2" w:rsidRDefault="000253B2" w:rsidP="000253B2">
      <w:r>
        <w:t xml:space="preserve">The second jurisdiction in Australia to introduce a legislated bill of rights was Victoria with the </w:t>
      </w:r>
      <w:hyperlink r:id="rId19" w:history="1">
        <w:r w:rsidRPr="00354224">
          <w:rPr>
            <w:rStyle w:val="Hyperlink"/>
            <w:i/>
            <w:iCs/>
          </w:rPr>
          <w:t>Charter of Human Rights and Responsibilities Act 2006</w:t>
        </w:r>
      </w:hyperlink>
      <w:r>
        <w:rPr>
          <w:i/>
          <w:iCs/>
        </w:rPr>
        <w:t xml:space="preserve"> </w:t>
      </w:r>
      <w:r>
        <w:t>(Vic)</w:t>
      </w:r>
      <w:r>
        <w:rPr>
          <w:i/>
          <w:iCs/>
        </w:rPr>
        <w:t xml:space="preserve"> </w:t>
      </w:r>
      <w:r>
        <w:t xml:space="preserve">(Victorian Charter). </w:t>
      </w:r>
    </w:p>
    <w:p w14:paraId="57570229" w14:textId="777C910E" w:rsidR="00E82093" w:rsidRDefault="00E82093" w:rsidP="00E82093">
      <w:pPr>
        <w:pStyle w:val="bullet10"/>
      </w:pPr>
      <w:r>
        <w:t>A person may make a complaint to the Victorian Ombudsman</w:t>
      </w:r>
      <w:r w:rsidR="000253B2">
        <w:t xml:space="preserve"> about a breach of the Victorian Charter</w:t>
      </w:r>
      <w:r>
        <w:t xml:space="preserve"> under the </w:t>
      </w:r>
      <w:hyperlink r:id="rId20" w:history="1">
        <w:r w:rsidRPr="00354224">
          <w:rPr>
            <w:rStyle w:val="Hyperlink"/>
            <w:i/>
            <w:iCs/>
          </w:rPr>
          <w:t>Ombudsman Act 1973</w:t>
        </w:r>
      </w:hyperlink>
      <w:r w:rsidR="00354224">
        <w:rPr>
          <w:i/>
          <w:iCs/>
        </w:rPr>
        <w:t xml:space="preserve"> </w:t>
      </w:r>
      <w:r w:rsidR="00354224">
        <w:t>(Vic)</w:t>
      </w:r>
      <w:r>
        <w:t xml:space="preserve">. Under section 13(2), the Victorian Ombudsman may enquire into or investigate whether a relevant administrative action is incompatible with a human right and, if the administrative action involves a decision, whether there was a failure to </w:t>
      </w:r>
      <w:proofErr w:type="gramStart"/>
      <w:r>
        <w:t>give proper consideration to</w:t>
      </w:r>
      <w:proofErr w:type="gramEnd"/>
      <w:r>
        <w:t xml:space="preserve"> a relevant human right. The Victorian Ombudsman is not able to make determinations about breaches of human rights, and does not provide dispute resolution, however </w:t>
      </w:r>
      <w:r w:rsidR="00354224">
        <w:t xml:space="preserve">it </w:t>
      </w:r>
      <w:r>
        <w:t xml:space="preserve">does have powers to report on findings and make recommendations under section 23 of the Ombudsman Act. </w:t>
      </w:r>
    </w:p>
    <w:p w14:paraId="63716219" w14:textId="7D2380D9" w:rsidR="00CE59A4" w:rsidRPr="00A552A2" w:rsidRDefault="00D12EF7" w:rsidP="00D37231">
      <w:pPr>
        <w:keepNext/>
        <w:rPr>
          <w:u w:val="single"/>
        </w:rPr>
      </w:pPr>
      <w:r>
        <w:rPr>
          <w:u w:val="single"/>
        </w:rPr>
        <w:t>Queensland</w:t>
      </w:r>
    </w:p>
    <w:p w14:paraId="3A467B1C" w14:textId="2B0FA5EE" w:rsidR="00E82093" w:rsidRDefault="00E82093" w:rsidP="00D37231">
      <w:pPr>
        <w:pStyle w:val="bullet10"/>
        <w:keepNext/>
      </w:pPr>
      <w:r>
        <w:t xml:space="preserve">The Queensland Human Rights Commission can deal with human rights complaints about an alleged contravention of section 58(1) of the </w:t>
      </w:r>
      <w:hyperlink r:id="rId21" w:history="1">
        <w:r w:rsidR="008F6333" w:rsidRPr="00A9083A">
          <w:rPr>
            <w:rStyle w:val="Hyperlink"/>
            <w:i/>
            <w:iCs/>
          </w:rPr>
          <w:t>Human Rights Act 2019</w:t>
        </w:r>
      </w:hyperlink>
      <w:r w:rsidR="008F6333">
        <w:rPr>
          <w:i/>
          <w:iCs/>
        </w:rPr>
        <w:t xml:space="preserve"> </w:t>
      </w:r>
      <w:r w:rsidR="008F6333">
        <w:t>(Qld) (the Queensland Act)</w:t>
      </w:r>
      <w:r>
        <w:t xml:space="preserve"> by a public entity in relation to an act or decision of the public entity.</w:t>
      </w:r>
      <w:r>
        <w:rPr>
          <w:rStyle w:val="FootnoteReference"/>
        </w:rPr>
        <w:footnoteReference w:id="7"/>
      </w:r>
      <w:r>
        <w:t xml:space="preserve"> The Queensland Human Rights Commission’s powers are similar to the ACT Human Rights Commission’s powers</w:t>
      </w:r>
      <w:r w:rsidR="00D37231">
        <w:t>:</w:t>
      </w:r>
      <w:r>
        <w:t xml:space="preserve"> in addition to investigating, reporting and making recommendations, the Queensland Human Rights Commission may also conciliate complaints. </w:t>
      </w:r>
    </w:p>
    <w:p w14:paraId="3A1F83B7" w14:textId="534AFA7E" w:rsidR="00BB2057" w:rsidRPr="00244F84" w:rsidRDefault="00BB2057" w:rsidP="00256D6A">
      <w:pPr>
        <w:pStyle w:val="Heading4"/>
      </w:pPr>
      <w:r>
        <w:t>ii. Referral of Discrimination Complaints to ACAT</w:t>
      </w:r>
    </w:p>
    <w:p w14:paraId="660CC7BD" w14:textId="77777777" w:rsidR="00BB2057" w:rsidRDefault="00BB2057" w:rsidP="00BB2057">
      <w:r>
        <w:t xml:space="preserve">As set out above, the Standing Committee Report recommended that the Government create a system which mirrors the current approach with respect to discrimination complaints. </w:t>
      </w:r>
    </w:p>
    <w:p w14:paraId="135789B6" w14:textId="77777777" w:rsidR="00BB2057" w:rsidRDefault="00BB2057" w:rsidP="00BB2057">
      <w:r>
        <w:t xml:space="preserve">A person may make a complaint to the Commission about an unlawful act under the </w:t>
      </w:r>
      <w:r>
        <w:rPr>
          <w:i/>
          <w:iCs/>
        </w:rPr>
        <w:t>Discrimination Act 1991</w:t>
      </w:r>
      <w:r>
        <w:t>.</w:t>
      </w:r>
      <w:r>
        <w:rPr>
          <w:rStyle w:val="FootnoteReference"/>
        </w:rPr>
        <w:footnoteReference w:id="8"/>
      </w:r>
      <w:r>
        <w:t xml:space="preserve"> As with human rights complaints, the Commission may: </w:t>
      </w:r>
    </w:p>
    <w:p w14:paraId="204ABBBF" w14:textId="77777777" w:rsidR="00BB2057" w:rsidRDefault="00BB2057" w:rsidP="00BB2057">
      <w:pPr>
        <w:pStyle w:val="ListParagraph"/>
        <w:numPr>
          <w:ilvl w:val="0"/>
          <w:numId w:val="17"/>
        </w:numPr>
      </w:pPr>
      <w:r>
        <w:t xml:space="preserve">investigate complaints, </w:t>
      </w:r>
    </w:p>
    <w:p w14:paraId="6E1163CD" w14:textId="77777777" w:rsidR="00BB2057" w:rsidRDefault="00BB2057" w:rsidP="00BB2057">
      <w:pPr>
        <w:pStyle w:val="ListParagraph"/>
        <w:numPr>
          <w:ilvl w:val="0"/>
          <w:numId w:val="17"/>
        </w:numPr>
      </w:pPr>
      <w:r>
        <w:t xml:space="preserve">request information, </w:t>
      </w:r>
    </w:p>
    <w:p w14:paraId="2C2EB260" w14:textId="77777777" w:rsidR="00BB2057" w:rsidRDefault="00BB2057" w:rsidP="00BB2057">
      <w:pPr>
        <w:pStyle w:val="ListParagraph"/>
        <w:numPr>
          <w:ilvl w:val="0"/>
          <w:numId w:val="17"/>
        </w:numPr>
      </w:pPr>
      <w:r>
        <w:t xml:space="preserve">offer confidential conciliation, </w:t>
      </w:r>
    </w:p>
    <w:p w14:paraId="167DCCF1" w14:textId="77777777" w:rsidR="00BB2057" w:rsidRDefault="00BB2057" w:rsidP="00BB2057">
      <w:pPr>
        <w:pStyle w:val="ListParagraph"/>
        <w:numPr>
          <w:ilvl w:val="0"/>
          <w:numId w:val="17"/>
        </w:numPr>
      </w:pPr>
      <w:r>
        <w:t xml:space="preserve">close complaints, </w:t>
      </w:r>
    </w:p>
    <w:p w14:paraId="732BF8A3" w14:textId="77777777" w:rsidR="00BB2057" w:rsidRDefault="00BB2057" w:rsidP="00BB2057">
      <w:pPr>
        <w:pStyle w:val="ListParagraph"/>
        <w:numPr>
          <w:ilvl w:val="0"/>
          <w:numId w:val="17"/>
        </w:numPr>
      </w:pPr>
      <w:r>
        <w:t xml:space="preserve">make a final report and </w:t>
      </w:r>
    </w:p>
    <w:p w14:paraId="78EE832B" w14:textId="77777777" w:rsidR="00BB2057" w:rsidRDefault="00BB2057" w:rsidP="00BB2057">
      <w:pPr>
        <w:pStyle w:val="ListParagraph"/>
        <w:numPr>
          <w:ilvl w:val="0"/>
          <w:numId w:val="17"/>
        </w:numPr>
      </w:pPr>
      <w:r>
        <w:t xml:space="preserve">make recommendations. </w:t>
      </w:r>
    </w:p>
    <w:p w14:paraId="712AEF7F" w14:textId="1838E017" w:rsidR="00BB2057" w:rsidRDefault="00BB2057" w:rsidP="00BB2057">
      <w:r>
        <w:lastRenderedPageBreak/>
        <w:t xml:space="preserve">Under the Human Rights Commission Act, where the Commission closes a complaint (section 82) or decides not to refer the complaint for conciliation (section 45(3)(d)), the Commission must include a discrimination referral statement which provides notice that the </w:t>
      </w:r>
      <w:r w:rsidR="00D37231">
        <w:t>C</w:t>
      </w:r>
      <w:r>
        <w:t>ommission has closed the complaint.</w:t>
      </w:r>
      <w:r>
        <w:rPr>
          <w:rStyle w:val="FootnoteReference"/>
        </w:rPr>
        <w:footnoteReference w:id="9"/>
      </w:r>
      <w:r>
        <w:t xml:space="preserve"> The complainant may ask the Commission to refer the complaint to ACAT within 60 days in the following circumstances: </w:t>
      </w:r>
    </w:p>
    <w:p w14:paraId="1732C41D" w14:textId="77777777" w:rsidR="00BB2057" w:rsidRDefault="00BB2057" w:rsidP="00BB2057">
      <w:pPr>
        <w:pStyle w:val="ListParagraph"/>
        <w:numPr>
          <w:ilvl w:val="0"/>
          <w:numId w:val="20"/>
        </w:numPr>
      </w:pPr>
      <w:r>
        <w:t>where the Commission decides not to refer the complaint for conciliation (section 45(3)(d), and</w:t>
      </w:r>
    </w:p>
    <w:p w14:paraId="119A5272" w14:textId="4B26FBB7" w:rsidR="00BB2057" w:rsidRDefault="00BB2057" w:rsidP="00BB2057">
      <w:pPr>
        <w:pStyle w:val="ListParagraph"/>
        <w:numPr>
          <w:ilvl w:val="0"/>
          <w:numId w:val="20"/>
        </w:numPr>
      </w:pPr>
      <w:r>
        <w:t xml:space="preserve">where the Commission has closed a discrimination complaint (section 82(2)). </w:t>
      </w:r>
    </w:p>
    <w:p w14:paraId="3F635641" w14:textId="7A5EADB7" w:rsidR="002B3134" w:rsidRDefault="00BB2057" w:rsidP="009E6F8A">
      <w:r>
        <w:t xml:space="preserve">The Commission may also refer a </w:t>
      </w:r>
      <w:r w:rsidR="004E2548">
        <w:t>C</w:t>
      </w:r>
      <w:r>
        <w:t>ommission-initiated discrimination matter to ACAT under section 53BA of the Human Rights Commission Act</w:t>
      </w:r>
      <w:r w:rsidR="00D37231">
        <w:t>,</w:t>
      </w:r>
      <w:r>
        <w:t xml:space="preserve"> after a </w:t>
      </w:r>
      <w:r w:rsidR="004E2548">
        <w:t>C</w:t>
      </w:r>
      <w:r>
        <w:t xml:space="preserve">ommission-initiated report has been prepared under section 84. </w:t>
      </w:r>
    </w:p>
    <w:p w14:paraId="104FC4D2" w14:textId="316CAF28" w:rsidR="00F81CE9" w:rsidRDefault="00F81CE9" w:rsidP="00A552A2"/>
    <w:p w14:paraId="2C76E129" w14:textId="288482B4" w:rsidR="00A000FA" w:rsidRDefault="009E6F8A" w:rsidP="00A552A2">
      <w:pPr>
        <w:pStyle w:val="Heading3"/>
      </w:pPr>
      <w:bookmarkStart w:id="11" w:name="_Toc199342768"/>
      <w:r>
        <w:t>B</w:t>
      </w:r>
      <w:r w:rsidR="00A000FA">
        <w:t xml:space="preserve">. </w:t>
      </w:r>
      <w:r w:rsidR="0090471C">
        <w:t>Tribunals and Human Rights</w:t>
      </w:r>
      <w:bookmarkEnd w:id="11"/>
    </w:p>
    <w:p w14:paraId="2704DD4D" w14:textId="4838735D" w:rsidR="00FE6DEB" w:rsidRDefault="0059244C" w:rsidP="00DF4992">
      <w:r>
        <w:t>The ACAT Pathway will not represent a completely new jurisdiction</w:t>
      </w:r>
      <w:r w:rsidR="004563E5">
        <w:t xml:space="preserve"> for ACAT</w:t>
      </w:r>
      <w:r w:rsidR="00D37231">
        <w:t>. ACAT</w:t>
      </w:r>
      <w:r w:rsidR="004563E5">
        <w:t xml:space="preserve"> </w:t>
      </w:r>
      <w:r w:rsidR="00D37231">
        <w:t>has</w:t>
      </w:r>
      <w:r>
        <w:t xml:space="preserve"> experience in considering human rights</w:t>
      </w:r>
      <w:r w:rsidR="0045403A">
        <w:t xml:space="preserve"> through “piggyback” complaints and interpreting legislation in a way that is consistent with the Human Rights Act. </w:t>
      </w:r>
    </w:p>
    <w:p w14:paraId="45F4B90B" w14:textId="303AA4A0" w:rsidR="0059244C" w:rsidRDefault="006C0071" w:rsidP="00DF4992">
      <w:r>
        <w:t xml:space="preserve">This section will provide an overview </w:t>
      </w:r>
      <w:r w:rsidR="00FE6DEB">
        <w:t xml:space="preserve">of </w:t>
      </w:r>
      <w:r w:rsidR="006160CF">
        <w:t xml:space="preserve">how </w:t>
      </w:r>
      <w:r w:rsidR="00930CE6">
        <w:t>tribunals in the</w:t>
      </w:r>
      <w:r w:rsidR="006160CF">
        <w:t xml:space="preserve"> ACT, Victoria and Queensland </w:t>
      </w:r>
      <w:r w:rsidR="00930CE6">
        <w:t>currently consider human rights in proceedings, and</w:t>
      </w:r>
      <w:r w:rsidR="003222B2">
        <w:t xml:space="preserve"> </w:t>
      </w:r>
      <w:r w:rsidR="00B02A52">
        <w:t xml:space="preserve">some discussion of the implications of when ACAT is </w:t>
      </w:r>
      <w:r w:rsidR="008439D3">
        <w:t>itself</w:t>
      </w:r>
      <w:r w:rsidR="00B02A52">
        <w:t xml:space="preserve"> a public authority. </w:t>
      </w:r>
    </w:p>
    <w:p w14:paraId="003056B8" w14:textId="3CA94BF2" w:rsidR="009562BB" w:rsidRDefault="009562BB" w:rsidP="009562BB">
      <w:pPr>
        <w:pStyle w:val="Heading4"/>
      </w:pPr>
      <w:proofErr w:type="spellStart"/>
      <w:r>
        <w:t>i</w:t>
      </w:r>
      <w:proofErr w:type="spellEnd"/>
      <w:r>
        <w:t>. “Piggyback” matters</w:t>
      </w:r>
    </w:p>
    <w:p w14:paraId="2339D91B" w14:textId="26D359C1" w:rsidR="008439D3" w:rsidRPr="008439D3" w:rsidRDefault="008439D3" w:rsidP="008439D3">
      <w:r>
        <w:t>While</w:t>
      </w:r>
      <w:r w:rsidR="00192820">
        <w:t xml:space="preserve"> there is no jurisdiction in Australia where a person may make a direct application to a tribunal</w:t>
      </w:r>
      <w:r w:rsidR="00A4212C">
        <w:t xml:space="preserve"> solely</w:t>
      </w:r>
      <w:r w:rsidR="00192820">
        <w:t xml:space="preserve"> about a breach of human rights, </w:t>
      </w:r>
      <w:r w:rsidR="00505932">
        <w:t xml:space="preserve">tribunals may consider human rights within the context of their existing jurisdictions. </w:t>
      </w:r>
    </w:p>
    <w:p w14:paraId="4A255892" w14:textId="1CF5726E" w:rsidR="00D12EF7" w:rsidRPr="00A552A2" w:rsidRDefault="00D12EF7" w:rsidP="00DF4992">
      <w:pPr>
        <w:rPr>
          <w:u w:val="single"/>
        </w:rPr>
      </w:pPr>
      <w:r>
        <w:rPr>
          <w:u w:val="single"/>
        </w:rPr>
        <w:t>ACT</w:t>
      </w:r>
    </w:p>
    <w:p w14:paraId="7AE83FA1" w14:textId="596490BC" w:rsidR="00BB2E47" w:rsidRDefault="0059244C" w:rsidP="00DF4992">
      <w:r>
        <w:t>In additional to a</w:t>
      </w:r>
      <w:r w:rsidR="00505932">
        <w:t>n ACT</w:t>
      </w:r>
      <w:r>
        <w:t xml:space="preserve"> Supreme Court application, a</w:t>
      </w:r>
      <w:r w:rsidR="007F3111">
        <w:t xml:space="preserve"> person may also rely on their rights under the Human Rights Act in other legal proceedings, also known as a “piggyback” matter.</w:t>
      </w:r>
      <w:r w:rsidR="007F3111">
        <w:rPr>
          <w:rStyle w:val="FootnoteReference"/>
        </w:rPr>
        <w:footnoteReference w:id="10"/>
      </w:r>
      <w:r w:rsidR="007F3111">
        <w:t xml:space="preserve"> </w:t>
      </w:r>
      <w:r w:rsidR="005A1908">
        <w:t xml:space="preserve">While this does not create a new jurisdiction to conduct a human rights review of a public authority, it does allow the ACT </w:t>
      </w:r>
      <w:r w:rsidR="00BB2E47">
        <w:t>C</w:t>
      </w:r>
      <w:r w:rsidR="005A1908">
        <w:t xml:space="preserve">ourts and </w:t>
      </w:r>
      <w:r w:rsidR="00BB2E47">
        <w:t>T</w:t>
      </w:r>
      <w:r w:rsidR="005A1908">
        <w:t>ribunal to consider human rights issues in the exercise of any discretion.</w:t>
      </w:r>
      <w:r w:rsidR="005A1908">
        <w:rPr>
          <w:rStyle w:val="FootnoteReference"/>
        </w:rPr>
        <w:footnoteReference w:id="11"/>
      </w:r>
      <w:r w:rsidR="00981D8D">
        <w:t xml:space="preserve"> However,</w:t>
      </w:r>
      <w:r w:rsidR="009C1324">
        <w:t xml:space="preserve"> this means that a person’s ability to bring a human rights claim in ACAT hinges on whether the statute (other than the HRA) on which they rely is framed to grant discretion to the decision-maker or not. For example, </w:t>
      </w:r>
      <w:r w:rsidR="00981D8D">
        <w:t>ACAT has</w:t>
      </w:r>
      <w:r w:rsidR="000C1E42">
        <w:t xml:space="preserve"> since</w:t>
      </w:r>
      <w:r w:rsidR="00981D8D">
        <w:t xml:space="preserve"> found that </w:t>
      </w:r>
      <w:r w:rsidR="00BB2E47">
        <w:t xml:space="preserve">where the only discretion it has relates to the orders available, and the availability of those </w:t>
      </w:r>
      <w:r w:rsidR="00BB2E47">
        <w:lastRenderedPageBreak/>
        <w:t>orders relies on the success of the original application, if the application is not successful then there is no discretion to make orders and therefore human rights issues are not a relevant consideration</w:t>
      </w:r>
      <w:r w:rsidR="00981D8D">
        <w:t>.</w:t>
      </w:r>
      <w:r w:rsidR="00981D8D">
        <w:rPr>
          <w:rStyle w:val="FootnoteReference"/>
        </w:rPr>
        <w:footnoteReference w:id="12"/>
      </w:r>
      <w:r w:rsidR="00981D8D">
        <w:t xml:space="preserve"> </w:t>
      </w:r>
    </w:p>
    <w:p w14:paraId="35DF9A00" w14:textId="68CB75CA" w:rsidR="00C155AE" w:rsidRDefault="00521DBF" w:rsidP="00DF4992">
      <w:r>
        <w:t>Th</w:t>
      </w:r>
      <w:r w:rsidR="00BB2E47">
        <w:t xml:space="preserve">ese ACAT decisions suggest that there is a </w:t>
      </w:r>
      <w:r>
        <w:t xml:space="preserve">narrower ability for ACAT to consider human rights in </w:t>
      </w:r>
      <w:r w:rsidR="00BB2E47">
        <w:t>“</w:t>
      </w:r>
      <w:r>
        <w:t>piggyback</w:t>
      </w:r>
      <w:r w:rsidR="00BB2E47">
        <w:t>”</w:t>
      </w:r>
      <w:r>
        <w:t xml:space="preserve"> matters, compared </w:t>
      </w:r>
      <w:proofErr w:type="gramStart"/>
      <w:r>
        <w:t xml:space="preserve">to </w:t>
      </w:r>
      <w:r w:rsidR="00BB2E47">
        <w:t>”piggyback</w:t>
      </w:r>
      <w:proofErr w:type="gramEnd"/>
      <w:r w:rsidR="00BB2E47">
        <w:t>” matters</w:t>
      </w:r>
      <w:r>
        <w:t xml:space="preserve"> in Victoria and Q</w:t>
      </w:r>
      <w:r w:rsidR="00BB2E47">
        <w:t xml:space="preserve">ueensland. The differences in the legislation and case law of these jurisdictions </w:t>
      </w:r>
      <w:r w:rsidR="004A5F70">
        <w:t>are</w:t>
      </w:r>
      <w:r w:rsidR="00BB2E47">
        <w:t xml:space="preserve"> set out below. </w:t>
      </w:r>
    </w:p>
    <w:p w14:paraId="2E147241" w14:textId="22A3D8C3" w:rsidR="009E6F8A" w:rsidRPr="00A552A2" w:rsidRDefault="00D12EF7" w:rsidP="00DF4992">
      <w:pPr>
        <w:rPr>
          <w:u w:val="single"/>
        </w:rPr>
      </w:pPr>
      <w:r>
        <w:rPr>
          <w:u w:val="single"/>
        </w:rPr>
        <w:t>Victoria</w:t>
      </w:r>
    </w:p>
    <w:p w14:paraId="4875E211" w14:textId="710EF9C1" w:rsidR="0090471C" w:rsidRDefault="0090471C" w:rsidP="00A4212C">
      <w:pPr>
        <w:pStyle w:val="bullet10"/>
        <w:spacing w:before="200" w:after="200"/>
      </w:pPr>
      <w:r>
        <w:t xml:space="preserve">Although there is no direct cause of action in the Victorian Charter, a person may raise a breach of rights as part of another proceeding i.e. a </w:t>
      </w:r>
      <w:r w:rsidR="00BB2E47">
        <w:t>“</w:t>
      </w:r>
      <w:r>
        <w:t>piggyback</w:t>
      </w:r>
      <w:r w:rsidR="00BB2E47">
        <w:t>”</w:t>
      </w:r>
      <w:r>
        <w:t xml:space="preserve"> matter. Namely, section 39(1) of the Victorian Charter states that: </w:t>
      </w:r>
    </w:p>
    <w:p w14:paraId="42D30F65" w14:textId="31E1807E" w:rsidR="0090471C" w:rsidRPr="00CD3838" w:rsidRDefault="000253B2" w:rsidP="00A4212C">
      <w:pPr>
        <w:pStyle w:val="bullet10"/>
        <w:spacing w:before="200" w:after="200"/>
        <w:ind w:left="720"/>
      </w:pPr>
      <w:r>
        <w:t>[</w:t>
      </w:r>
      <w:proofErr w:type="spellStart"/>
      <w:r>
        <w:t>i</w:t>
      </w:r>
      <w:proofErr w:type="spellEnd"/>
      <w:r>
        <w:t>]</w:t>
      </w:r>
      <w:r w:rsidR="0090471C" w:rsidRPr="00CD3838">
        <w:t xml:space="preserve">f, </w:t>
      </w:r>
      <w:proofErr w:type="gramStart"/>
      <w:r w:rsidR="0090471C" w:rsidRPr="00CD3838">
        <w:t>otherwise</w:t>
      </w:r>
      <w:proofErr w:type="gramEnd"/>
      <w:r w:rsidR="0090471C" w:rsidRPr="00CD3838">
        <w:t xml:space="preserve"> than because of this Charter, a person may seek any relief or remedy in respect of an act or decision of a public authority on the ground that the act or decision was unlawful, that person may seek that relief or remedy on a</w:t>
      </w:r>
      <w:r w:rsidR="0090471C">
        <w:t xml:space="preserve"> g</w:t>
      </w:r>
      <w:r w:rsidR="0090471C" w:rsidRPr="00CD3838">
        <w:t xml:space="preserve">round of unlawfulness arising because of this Charter. </w:t>
      </w:r>
    </w:p>
    <w:p w14:paraId="13D164DC" w14:textId="77777777" w:rsidR="0090471C" w:rsidRDefault="0090471C" w:rsidP="00A4212C">
      <w:pPr>
        <w:pStyle w:val="bullet10"/>
        <w:spacing w:before="200" w:after="200"/>
      </w:pPr>
      <w:r>
        <w:t xml:space="preserve">Section 39(3) states that a person is not entitled to be awarded any damages because of a breach of the Victorian Charter. </w:t>
      </w:r>
    </w:p>
    <w:p w14:paraId="2EE2E22E" w14:textId="61A3AE0B" w:rsidR="0090471C" w:rsidRDefault="0090471C" w:rsidP="00A4212C">
      <w:pPr>
        <w:pStyle w:val="bullet10"/>
        <w:spacing w:before="200" w:after="200"/>
      </w:pPr>
      <w:r>
        <w:t>The Victorian Supreme Court has clarified that even if the original matter is not successful, where the claim of a breach of rights is successful, the applicant may nevertheless seek relief or remedy under either jurisdiction where the relief or remedy is the same.</w:t>
      </w:r>
      <w:r>
        <w:rPr>
          <w:rStyle w:val="FootnoteReference"/>
        </w:rPr>
        <w:footnoteReference w:id="13"/>
      </w:r>
      <w:r w:rsidR="000253B2">
        <w:t xml:space="preserve"> </w:t>
      </w:r>
      <w:r>
        <w:t>This differs from the approach in the ACT where</w:t>
      </w:r>
      <w:r w:rsidR="00521DBF">
        <w:t>, as noted above,</w:t>
      </w:r>
      <w:r>
        <w:t xml:space="preserve"> </w:t>
      </w:r>
      <w:r w:rsidR="004A5F70">
        <w:t xml:space="preserve">case law has indicated that </w:t>
      </w:r>
      <w:r>
        <w:t>the court or tribunal</w:t>
      </w:r>
      <w:r w:rsidR="00521DBF">
        <w:t xml:space="preserve"> may only consider human rights as part of an existing discretion under the original jurisdiction in which the claim is brought</w:t>
      </w:r>
      <w:r>
        <w:t>.</w:t>
      </w:r>
      <w:r>
        <w:rPr>
          <w:rStyle w:val="FootnoteReference"/>
        </w:rPr>
        <w:footnoteReference w:id="14"/>
      </w:r>
      <w:r>
        <w:t xml:space="preserve"> </w:t>
      </w:r>
    </w:p>
    <w:p w14:paraId="575B19CC" w14:textId="4CD1EC26" w:rsidR="00A53608" w:rsidRPr="00E73880" w:rsidRDefault="00A53608" w:rsidP="00A4212C">
      <w:pPr>
        <w:pStyle w:val="bullet10"/>
        <w:spacing w:before="200" w:after="200"/>
      </w:pPr>
      <w:r>
        <w:t xml:space="preserve">Recommendation 6 of the </w:t>
      </w:r>
      <w:proofErr w:type="spellStart"/>
      <w:r>
        <w:rPr>
          <w:i/>
          <w:iCs/>
        </w:rPr>
        <w:t>Yoorrook</w:t>
      </w:r>
      <w:proofErr w:type="spellEnd"/>
      <w:r>
        <w:rPr>
          <w:i/>
          <w:iCs/>
        </w:rPr>
        <w:t xml:space="preserve"> for Justice</w:t>
      </w:r>
      <w:r>
        <w:t xml:space="preserve"> Report was that the Victorian Charter be amended to enable individuals to bring cases to the Victorian Civil and Administrative Tribunal (VCAT) for government decisions made in breach of the Victorian Charter as a low cost and accessible pathway</w:t>
      </w:r>
      <w:r w:rsidR="008F0027">
        <w:t xml:space="preserve"> for dispute resolution</w:t>
      </w:r>
      <w:r>
        <w:t>.</w:t>
      </w:r>
      <w:r>
        <w:rPr>
          <w:rStyle w:val="FootnoteReference"/>
        </w:rPr>
        <w:footnoteReference w:id="15"/>
      </w:r>
      <w:r>
        <w:t xml:space="preserve"> In its 2024 response, the Victorian Government noted this would involve considerable expansion of VCAT’s remit and did not support the recommendation at the time.</w:t>
      </w:r>
      <w:r>
        <w:rPr>
          <w:rStyle w:val="FootnoteReference"/>
        </w:rPr>
        <w:footnoteReference w:id="16"/>
      </w:r>
      <w:r>
        <w:t xml:space="preserve"> </w:t>
      </w:r>
    </w:p>
    <w:p w14:paraId="5713AA18" w14:textId="013ACFF9" w:rsidR="008F6333" w:rsidRPr="00A552A2" w:rsidRDefault="008F6333" w:rsidP="00710887">
      <w:pPr>
        <w:pStyle w:val="bullet10"/>
        <w:rPr>
          <w:u w:val="single"/>
        </w:rPr>
      </w:pPr>
      <w:r>
        <w:rPr>
          <w:u w:val="single"/>
        </w:rPr>
        <w:t>Queensland</w:t>
      </w:r>
    </w:p>
    <w:p w14:paraId="4B1D9FE3" w14:textId="30CA6786" w:rsidR="00710887" w:rsidRDefault="00710887" w:rsidP="009C1324">
      <w:pPr>
        <w:pStyle w:val="bullet10"/>
        <w:spacing w:before="200" w:after="200"/>
      </w:pPr>
      <w:r>
        <w:t xml:space="preserve">Under section 59(1) of the Queensland Act: </w:t>
      </w:r>
    </w:p>
    <w:p w14:paraId="695083A9" w14:textId="77777777" w:rsidR="00710887" w:rsidRDefault="00710887" w:rsidP="009C1324">
      <w:pPr>
        <w:pStyle w:val="bullet10"/>
        <w:spacing w:before="200" w:after="200"/>
        <w:ind w:left="720"/>
      </w:pPr>
      <w:r>
        <w:t xml:space="preserve">a person may seek any relief or remedy in relation to an act or decision of a public entity on the ground that the act or decision was, other than because of section 58, unlawful.  </w:t>
      </w:r>
    </w:p>
    <w:p w14:paraId="057B0AD4" w14:textId="77777777" w:rsidR="00710887" w:rsidRPr="00CD3838" w:rsidRDefault="00710887" w:rsidP="009C1324">
      <w:pPr>
        <w:pStyle w:val="bullet10"/>
        <w:spacing w:before="200" w:after="200"/>
        <w:rPr>
          <w:u w:val="single"/>
        </w:rPr>
      </w:pPr>
      <w:r>
        <w:t>Again, this relief or remedy does not extend to damages.</w:t>
      </w:r>
      <w:r>
        <w:rPr>
          <w:rStyle w:val="FootnoteReference"/>
        </w:rPr>
        <w:footnoteReference w:id="17"/>
      </w:r>
    </w:p>
    <w:p w14:paraId="2DB82996" w14:textId="11115773" w:rsidR="00710887" w:rsidRDefault="00710887" w:rsidP="009C1324">
      <w:pPr>
        <w:pStyle w:val="bullet10"/>
        <w:spacing w:before="200" w:after="200"/>
      </w:pPr>
      <w:r>
        <w:lastRenderedPageBreak/>
        <w:t xml:space="preserve">Unlike the ACT and Victoria where case law has been required to interpret whether the success of the </w:t>
      </w:r>
      <w:r w:rsidR="004A5F70">
        <w:t>“</w:t>
      </w:r>
      <w:r>
        <w:t>piggyback</w:t>
      </w:r>
      <w:r w:rsidR="004A5F70">
        <w:t>”</w:t>
      </w:r>
      <w:r>
        <w:t xml:space="preserve"> matter is contingent on </w:t>
      </w:r>
      <w:r w:rsidR="000535B2">
        <w:t xml:space="preserve">an existing discretion or </w:t>
      </w:r>
      <w:r>
        <w:t xml:space="preserve">the success of the original claim, section 59(2) of the Queensland Act </w:t>
      </w:r>
      <w:r w:rsidR="000E7724">
        <w:t xml:space="preserve">explicitly </w:t>
      </w:r>
      <w:r>
        <w:t xml:space="preserve">states: </w:t>
      </w:r>
    </w:p>
    <w:p w14:paraId="24F72993" w14:textId="77777777" w:rsidR="00710887" w:rsidRDefault="00710887" w:rsidP="009C1324">
      <w:pPr>
        <w:pStyle w:val="bullet10"/>
        <w:spacing w:before="200" w:after="200"/>
        <w:ind w:left="720"/>
      </w:pPr>
      <w:r>
        <w:t xml:space="preserve">[t]he person may seek the relief or remedy mentioned in subsection (1) on the ground of unlawfulness arising under section 58, </w:t>
      </w:r>
      <w:r w:rsidRPr="004C37E0">
        <w:rPr>
          <w:b/>
          <w:bCs/>
        </w:rPr>
        <w:t>even if the person may not be successful in obtaining the relief or remedy on the ground mentioned in subsection (1)</w:t>
      </w:r>
      <w:r>
        <w:t xml:space="preserve">. </w:t>
      </w:r>
    </w:p>
    <w:p w14:paraId="030D16D0" w14:textId="180A5F17" w:rsidR="008A37EC" w:rsidRDefault="00710887" w:rsidP="009C1324">
      <w:pPr>
        <w:pStyle w:val="bullet10"/>
        <w:spacing w:before="200" w:after="200"/>
      </w:pPr>
      <w:r>
        <w:t xml:space="preserve">This makes it clear that </w:t>
      </w:r>
      <w:r w:rsidR="000E7724">
        <w:t>in contrast</w:t>
      </w:r>
      <w:r>
        <w:t xml:space="preserve"> </w:t>
      </w:r>
      <w:r w:rsidR="008F0027">
        <w:t xml:space="preserve">to </w:t>
      </w:r>
      <w:r>
        <w:t xml:space="preserve">the case law position in the ACT, </w:t>
      </w:r>
      <w:r w:rsidR="008F0027">
        <w:t>in Queensland</w:t>
      </w:r>
      <w:r>
        <w:t xml:space="preserve"> a person may seek relief or remedy for a breach of human rights in a piggyback matter, even if they are not successful in the original claim</w:t>
      </w:r>
      <w:r w:rsidR="000535B2">
        <w:t xml:space="preserve"> or there is no discretion available to the court or tribunal under the relevant legislation</w:t>
      </w:r>
      <w:r>
        <w:t xml:space="preserve">. </w:t>
      </w:r>
    </w:p>
    <w:p w14:paraId="4CD7DD67" w14:textId="25FE129C" w:rsidR="00710887" w:rsidRDefault="00710887" w:rsidP="009C1324">
      <w:pPr>
        <w:pStyle w:val="bullet10"/>
        <w:spacing w:before="200" w:after="200"/>
      </w:pPr>
      <w:r>
        <w:t>In its submission to the Review of Queensland’s Human Rights Act, the Queensland Human Rights Commission recommended that human rights complaints should be able to be referred to a tribunal for determination.</w:t>
      </w:r>
      <w:r>
        <w:rPr>
          <w:rStyle w:val="FootnoteReference"/>
        </w:rPr>
        <w:footnoteReference w:id="18"/>
      </w:r>
      <w:r>
        <w:t xml:space="preserve"> Recommendation 60 of the Final Report, tabled in the Queensland Parliament on 26</w:t>
      </w:r>
      <w:r w:rsidR="008F0027">
        <w:t> </w:t>
      </w:r>
      <w:r>
        <w:t xml:space="preserve">March 2025, reflects this submission and states: </w:t>
      </w:r>
    </w:p>
    <w:p w14:paraId="40FD9B70" w14:textId="77777777" w:rsidR="00710887" w:rsidRDefault="00710887" w:rsidP="009C1324">
      <w:pPr>
        <w:pStyle w:val="bullet10"/>
        <w:spacing w:before="200" w:after="200"/>
        <w:ind w:left="720"/>
        <w:rPr>
          <w:sz w:val="20"/>
          <w:szCs w:val="18"/>
        </w:rPr>
      </w:pPr>
      <w:r>
        <w:rPr>
          <w:sz w:val="20"/>
          <w:szCs w:val="18"/>
        </w:rPr>
        <w:t xml:space="preserve">The </w:t>
      </w:r>
      <w:r>
        <w:rPr>
          <w:i/>
          <w:iCs/>
          <w:sz w:val="20"/>
          <w:szCs w:val="18"/>
        </w:rPr>
        <w:t xml:space="preserve">Human Rights Act </w:t>
      </w:r>
      <w:r>
        <w:rPr>
          <w:sz w:val="20"/>
          <w:szCs w:val="18"/>
        </w:rPr>
        <w:t>should be amended to allow the Queensland Human Rights Commission to refer unresolved human rights complaints, and complaints that are otherwise unsuited to the Commission’s dispute resolution process, to the Queensland Civil and Administrative Tribunal for determination and effective remedy.</w:t>
      </w:r>
      <w:r>
        <w:rPr>
          <w:rStyle w:val="FootnoteReference"/>
          <w:sz w:val="20"/>
          <w:szCs w:val="18"/>
        </w:rPr>
        <w:footnoteReference w:id="19"/>
      </w:r>
      <w:r>
        <w:rPr>
          <w:sz w:val="20"/>
          <w:szCs w:val="18"/>
        </w:rPr>
        <w:t xml:space="preserve"> </w:t>
      </w:r>
    </w:p>
    <w:p w14:paraId="77151CD0" w14:textId="7C6C4F6A" w:rsidR="008F0027" w:rsidRPr="009C1324" w:rsidRDefault="008F0027" w:rsidP="009C1324">
      <w:pPr>
        <w:pStyle w:val="bullet10"/>
        <w:spacing w:before="200" w:after="200"/>
      </w:pPr>
      <w:r w:rsidRPr="009C1324">
        <w:t>The Quee</w:t>
      </w:r>
      <w:r>
        <w:t>nsland Government is yet to respond to this recommendation.</w:t>
      </w:r>
    </w:p>
    <w:p w14:paraId="6450B577" w14:textId="40028545" w:rsidR="00536A23" w:rsidRPr="00B5223D" w:rsidRDefault="00B5223D" w:rsidP="00A552A2">
      <w:pPr>
        <w:pStyle w:val="Heading4"/>
      </w:pPr>
      <w:r>
        <w:t xml:space="preserve">ii. </w:t>
      </w:r>
      <w:r w:rsidRPr="00A552A2">
        <w:t>ACAT as a public authority</w:t>
      </w:r>
    </w:p>
    <w:p w14:paraId="35BCFCFA" w14:textId="77777777" w:rsidR="00536A23" w:rsidRDefault="00536A23" w:rsidP="008A37EC">
      <w:r>
        <w:t xml:space="preserve">One additional factor to consider when developing a model for an ACAT Pathway is what will happen when ACAT itself is acting as a public authority, and someone wishes to bring a complaint against ACAT for acting in a way that is incompatible with a human right or failing to </w:t>
      </w:r>
      <w:proofErr w:type="gramStart"/>
      <w:r>
        <w:t>give proper consideration to</w:t>
      </w:r>
      <w:proofErr w:type="gramEnd"/>
      <w:r>
        <w:t xml:space="preserve"> a relevant right in </w:t>
      </w:r>
      <w:proofErr w:type="gramStart"/>
      <w:r>
        <w:t>making a decision</w:t>
      </w:r>
      <w:proofErr w:type="gramEnd"/>
      <w:r>
        <w:t xml:space="preserve">. </w:t>
      </w:r>
    </w:p>
    <w:p w14:paraId="2E41CD00" w14:textId="05DF50FB" w:rsidR="00536A23" w:rsidRDefault="00536A23" w:rsidP="008A37EC">
      <w:r>
        <w:t xml:space="preserve">Section 40(2)(b) of the Human Rights Act notes that a public authority does not include a court, except when acting in an administrative capacity. Case law in the ACT </w:t>
      </w:r>
      <w:r w:rsidR="00415C33">
        <w:t xml:space="preserve">has </w:t>
      </w:r>
      <w:r>
        <w:t>found that</w:t>
      </w:r>
      <w:r w:rsidR="00415C33">
        <w:t xml:space="preserve"> this occurs when ACAT is exercising its administrative (merits) review function, or other non-judicial functions (e.g. </w:t>
      </w:r>
      <w:r w:rsidR="004E2548">
        <w:t xml:space="preserve">the </w:t>
      </w:r>
      <w:r w:rsidR="00415C33">
        <w:t>actions of Registry staff)</w:t>
      </w:r>
      <w:r>
        <w:t xml:space="preserve">: </w:t>
      </w:r>
    </w:p>
    <w:p w14:paraId="2D624C19" w14:textId="77777777" w:rsidR="00536A23" w:rsidRDefault="00536A23" w:rsidP="008A37EC">
      <w:pPr>
        <w:ind w:left="720"/>
      </w:pPr>
      <w:r>
        <w:t>ACAT is a public authority…Although ACAT falls within the definition of ‘court’ in the Human Rights Act…ACAT acts in an administrative capacity by exercising the scope [of] the respondent’s functions upon an application for review being filed with ACAT. In addition to the function that ACAT exercises when standing in the shoes of the respondent, it also acts as a public authority in its own right when acting in an administrative capacity.</w:t>
      </w:r>
      <w:r>
        <w:rPr>
          <w:rStyle w:val="FootnoteReference"/>
        </w:rPr>
        <w:footnoteReference w:id="20"/>
      </w:r>
    </w:p>
    <w:p w14:paraId="2F0E1F6B" w14:textId="7EA27DC7" w:rsidR="00536A23" w:rsidRDefault="00536A23" w:rsidP="008A37EC">
      <w:r>
        <w:lastRenderedPageBreak/>
        <w:t>While this approach has been upheld in subsequent matters, there does remain some ambiguity about the extent to which ACAT is acting as a public authority in the exercise of some powers, such as striking out an application as frivolous or vexatious under section 32 of the ACAT Act</w:t>
      </w:r>
      <w:r w:rsidR="00D57354">
        <w:t xml:space="preserve"> in an administrative review matter</w:t>
      </w:r>
      <w:r>
        <w:t>.</w:t>
      </w:r>
      <w:r>
        <w:rPr>
          <w:rStyle w:val="FootnoteReference"/>
        </w:rPr>
        <w:footnoteReference w:id="21"/>
      </w:r>
      <w:r>
        <w:t xml:space="preserve"> </w:t>
      </w:r>
    </w:p>
    <w:p w14:paraId="4BD81886" w14:textId="647B050B" w:rsidR="00536A23" w:rsidRPr="00B22DF5" w:rsidRDefault="00536A23" w:rsidP="008A37EC">
      <w:r>
        <w:t>Given this, there may need to be a specific provision that deals with what happens where ACAT itself is the subject of a human rights complaint</w:t>
      </w:r>
      <w:r w:rsidR="00415C33">
        <w:t>, so that such a complaint may only be heard by the Supreme Court.</w:t>
      </w:r>
    </w:p>
    <w:p w14:paraId="1CAA4816" w14:textId="77777777" w:rsidR="00AD7525" w:rsidRDefault="00AD7525" w:rsidP="00B13706">
      <w:pPr>
        <w:pStyle w:val="Heading3"/>
        <w:spacing w:before="200" w:after="200"/>
      </w:pPr>
    </w:p>
    <w:p w14:paraId="4E44D2E4" w14:textId="18408A38" w:rsidR="009E6F8A" w:rsidRDefault="009E6F8A" w:rsidP="00B13706">
      <w:pPr>
        <w:pStyle w:val="Heading3"/>
        <w:spacing w:before="200" w:after="200"/>
      </w:pPr>
      <w:bookmarkStart w:id="12" w:name="_Toc199342769"/>
      <w:r>
        <w:t xml:space="preserve">C. Interaction between </w:t>
      </w:r>
      <w:r w:rsidR="009F2C0B">
        <w:t>Tribunal and Higher Court</w:t>
      </w:r>
      <w:bookmarkEnd w:id="12"/>
    </w:p>
    <w:p w14:paraId="14572F7C" w14:textId="3F3244EE" w:rsidR="00DB7F00" w:rsidRPr="00DB7F00" w:rsidRDefault="00F43B5D" w:rsidP="008A37EC">
      <w:r>
        <w:t xml:space="preserve">One of the key questions in this discussion paper is how the new ACAT pathway should interact with the existing standalone cause of action in the ACT Supreme Court. </w:t>
      </w:r>
      <w:r w:rsidR="00E366EF">
        <w:t xml:space="preserve">This section sets out how questions of law may already be referred to the Supreme Court, and how tribunal matters may be appealed to the Supreme Court. </w:t>
      </w:r>
      <w:r w:rsidR="00B00345">
        <w:t>This section will compare the approaches in the ACT, Victoria, Queensland and the UK</w:t>
      </w:r>
      <w:r w:rsidR="00E26863">
        <w:t xml:space="preserve">. </w:t>
      </w:r>
    </w:p>
    <w:p w14:paraId="0AAEE832" w14:textId="5F12C602" w:rsidR="002318C7" w:rsidRDefault="00A53608" w:rsidP="00205CEB">
      <w:pPr>
        <w:pStyle w:val="Heading4"/>
        <w:spacing w:before="200" w:after="200"/>
      </w:pPr>
      <w:proofErr w:type="spellStart"/>
      <w:r>
        <w:t>i</w:t>
      </w:r>
      <w:proofErr w:type="spellEnd"/>
      <w:r>
        <w:t>. ACT</w:t>
      </w:r>
    </w:p>
    <w:p w14:paraId="4A7C88A3" w14:textId="73904FE1" w:rsidR="009E6F8A" w:rsidRDefault="009E6F8A" w:rsidP="008A37EC">
      <w:r>
        <w:t>The ACT is the only jurisdiction in Australia that has a standalone cause of action in th</w:t>
      </w:r>
      <w:r w:rsidR="00EB5DE3">
        <w:t xml:space="preserve">e Supreme Court for a breach of human rights. </w:t>
      </w:r>
    </w:p>
    <w:p w14:paraId="3A6E690D" w14:textId="41869270" w:rsidR="00A357F4" w:rsidRDefault="00A357F4" w:rsidP="008A37EC">
      <w:r>
        <w:t xml:space="preserve">Section 30 of the Human Rights Act requires that ACT laws must be interpreted in a way that is compatible with human rights, so far as it is possible to do so consistently with their purpose. This means that ACAT is required to consider human rights when interpreting legislation, another way in which human rights may be relevant to ACAT proceedings. </w:t>
      </w:r>
      <w:r w:rsidR="00CC7F47">
        <w:t xml:space="preserve">However, only </w:t>
      </w:r>
      <w:r w:rsidR="00C058DE">
        <w:t xml:space="preserve">the Supreme Court may make a declaration than an ACT law is not consistent with a human right under section 32 of the Human Rights Act. </w:t>
      </w:r>
    </w:p>
    <w:p w14:paraId="17C9DB2B" w14:textId="3C9449E5" w:rsidR="00A357F4" w:rsidRDefault="00A357F4" w:rsidP="008A37EC">
      <w:r>
        <w:t>While there is no specific requirement that questions of law relating to the Human Rights Act or questions relating to the interpretation of legislation in accordance with the Human Rights Act be referred to the Supreme Court, section 84 of the ACAT Act</w:t>
      </w:r>
      <w:r>
        <w:rPr>
          <w:i/>
          <w:iCs/>
        </w:rPr>
        <w:t xml:space="preserve"> </w:t>
      </w:r>
      <w:r>
        <w:t xml:space="preserve">allows ACAT to refer a question of law to the Supreme Court on its own initiative or on application by a party. This could include a question of how legislation is to be interpreted with respect to human rights. </w:t>
      </w:r>
    </w:p>
    <w:p w14:paraId="648FA7C5" w14:textId="1DB4C3B0" w:rsidR="009A3A09" w:rsidRDefault="009A3A09" w:rsidP="008A37EC">
      <w:r>
        <w:t xml:space="preserve">Finally, section 86 of the ACAT Act provides that </w:t>
      </w:r>
      <w:r w:rsidR="0026494A">
        <w:t xml:space="preserve">parties may appeal decisions of the appeal tribunal </w:t>
      </w:r>
      <w:r w:rsidR="00974A06">
        <w:t xml:space="preserve">to the Supreme Court on a question of law or fact. </w:t>
      </w:r>
      <w:r w:rsidR="00D57354">
        <w:t xml:space="preserve">This may include decisions in </w:t>
      </w:r>
      <w:r w:rsidR="00B222A1">
        <w:t>“</w:t>
      </w:r>
      <w:r w:rsidR="00D57354">
        <w:t>piggyback</w:t>
      </w:r>
      <w:r w:rsidR="00B222A1">
        <w:t>”</w:t>
      </w:r>
      <w:r w:rsidR="00D57354">
        <w:t xml:space="preserve"> matters raising human rights issues.</w:t>
      </w:r>
    </w:p>
    <w:p w14:paraId="4B1E1F22" w14:textId="7D415067" w:rsidR="00A357F4" w:rsidRPr="00A357F4" w:rsidRDefault="00A53608" w:rsidP="00205CEB">
      <w:pPr>
        <w:pStyle w:val="Heading4"/>
        <w:spacing w:before="200" w:after="200"/>
      </w:pPr>
      <w:r>
        <w:t>ii. Victoria</w:t>
      </w:r>
    </w:p>
    <w:p w14:paraId="5DBC4887" w14:textId="0344490C" w:rsidR="0090471C" w:rsidRPr="006000DC" w:rsidRDefault="0090471C" w:rsidP="008A37EC">
      <w:r>
        <w:t xml:space="preserve">Unlike the ACT, there is no standalone direct cause of action for a breach of human rights under the Victorian Charter. </w:t>
      </w:r>
    </w:p>
    <w:p w14:paraId="1B3754F0" w14:textId="0756B94C" w:rsidR="0090471C" w:rsidRDefault="0090471C" w:rsidP="00B13706">
      <w:pPr>
        <w:pStyle w:val="bullet10"/>
        <w:spacing w:before="200" w:after="200"/>
      </w:pPr>
      <w:r>
        <w:t xml:space="preserve">However, </w:t>
      </w:r>
      <w:r w:rsidR="00F52C83">
        <w:t>proceeding before a Victorian court or tribunal may</w:t>
      </w:r>
      <w:r>
        <w:t xml:space="preserve"> be referred to the Victorian Supreme Court where a question of law arises relating to the application of the Victorian Charter, or a question arises with respect to the interpretation of a statutory provision in accordance with the Victorian Charter.</w:t>
      </w:r>
      <w:r>
        <w:rPr>
          <w:rStyle w:val="FootnoteReference"/>
        </w:rPr>
        <w:footnoteReference w:id="22"/>
      </w:r>
      <w:r>
        <w:t xml:space="preserve"> As in the </w:t>
      </w:r>
      <w:r>
        <w:lastRenderedPageBreak/>
        <w:t>ACT, the Victorian Supreme Court may make a declaration of inconsistent interpretation under section</w:t>
      </w:r>
      <w:r w:rsidR="00D57354">
        <w:t> </w:t>
      </w:r>
      <w:r>
        <w:t xml:space="preserve">36(2). </w:t>
      </w:r>
      <w:r w:rsidR="00D57354">
        <w:t xml:space="preserve">Human rights claims may also be considered on appeal from Tribunal or lower court proceedings, in </w:t>
      </w:r>
      <w:r w:rsidR="00B222A1">
        <w:t>“</w:t>
      </w:r>
      <w:r w:rsidR="00D57354">
        <w:t>piggyback</w:t>
      </w:r>
      <w:r w:rsidR="00B222A1">
        <w:t>”</w:t>
      </w:r>
      <w:r w:rsidR="00D57354">
        <w:t xml:space="preserve"> matters.</w:t>
      </w:r>
    </w:p>
    <w:p w14:paraId="0C3C5856" w14:textId="64E2AD6B" w:rsidR="00090549" w:rsidRPr="00F05C44" w:rsidRDefault="00090549" w:rsidP="00B13706">
      <w:pPr>
        <w:pStyle w:val="Heading4"/>
        <w:spacing w:before="200" w:after="200"/>
      </w:pPr>
      <w:r>
        <w:t>iii. Queensland</w:t>
      </w:r>
    </w:p>
    <w:p w14:paraId="141D5946" w14:textId="250F3D54" w:rsidR="00090549" w:rsidRDefault="002439CC" w:rsidP="00B13706">
      <w:pPr>
        <w:pStyle w:val="bullet10"/>
        <w:spacing w:before="200" w:after="200"/>
      </w:pPr>
      <w:r>
        <w:t xml:space="preserve">Similar to Victoria, there is no standalone cause of action for a breach of human rights </w:t>
      </w:r>
      <w:r w:rsidR="009C5C53">
        <w:t>in the Queensland Act, but a question of law that relates to the application of the Queensland Act or a question in relation to the interpretation of a statutory provision in accordance with the Queensland Act, may be referred to the Supreme Court</w:t>
      </w:r>
      <w:r w:rsidR="001E63F9">
        <w:t>.</w:t>
      </w:r>
      <w:r w:rsidR="001E63F9">
        <w:rPr>
          <w:rStyle w:val="FootnoteReference"/>
        </w:rPr>
        <w:footnoteReference w:id="23"/>
      </w:r>
      <w:r w:rsidR="001E63F9">
        <w:t xml:space="preserve"> </w:t>
      </w:r>
      <w:r w:rsidR="00B222A1">
        <w:t>As in Victoria, h</w:t>
      </w:r>
      <w:r w:rsidR="00D57354">
        <w:t xml:space="preserve">uman rights claims may also be considered on appeal from Tribunal or lower court proceedings, in </w:t>
      </w:r>
      <w:r w:rsidR="00B222A1">
        <w:t>“</w:t>
      </w:r>
      <w:r w:rsidR="00D57354">
        <w:t>piggyback</w:t>
      </w:r>
      <w:r w:rsidR="00B222A1">
        <w:t>”</w:t>
      </w:r>
      <w:r w:rsidR="00D57354">
        <w:t xml:space="preserve"> matters.</w:t>
      </w:r>
    </w:p>
    <w:p w14:paraId="0EE936DE" w14:textId="765B3E91" w:rsidR="00090549" w:rsidRPr="003A3ECB" w:rsidRDefault="00A504BD" w:rsidP="00B13706">
      <w:pPr>
        <w:pStyle w:val="Heading4"/>
        <w:spacing w:before="200" w:after="200"/>
      </w:pPr>
      <w:r>
        <w:t>iv</w:t>
      </w:r>
      <w:r w:rsidR="00090549">
        <w:t>. United Kingdom</w:t>
      </w:r>
    </w:p>
    <w:p w14:paraId="23EAA4D0" w14:textId="21F3D280" w:rsidR="00090549" w:rsidRPr="00DD161C" w:rsidRDefault="00090549" w:rsidP="008A37EC">
      <w:pPr>
        <w:pStyle w:val="BodyText1"/>
      </w:pPr>
      <w:r>
        <w:t xml:space="preserve">In the United Kingdom (UK), human rights are set out in the </w:t>
      </w:r>
      <w:r>
        <w:rPr>
          <w:i/>
          <w:iCs/>
        </w:rPr>
        <w:t xml:space="preserve">Human Rights Act 1998 </w:t>
      </w:r>
      <w:r>
        <w:t xml:space="preserve">(UK) (the UK Act) which includes a standalone cause of action. Under section 7(1) of the UK Act, a person who claims that a public authority has acted in contravention of human rights may either bring proceedings in the appropriate court or tribunal or rely on their rights in any legal proceedings. There is no requirement that a matter be considered by the Equality and Human Rights Commission first. </w:t>
      </w:r>
    </w:p>
    <w:p w14:paraId="7BC181F2" w14:textId="619F0921" w:rsidR="00090549" w:rsidRDefault="00090549" w:rsidP="008A37EC">
      <w:pPr>
        <w:pStyle w:val="BodyText1"/>
      </w:pPr>
      <w:r>
        <w:t>Section 7(2) states that the appropriate court or tribunal may be determined in accordance with rules. Rule</w:t>
      </w:r>
      <w:r w:rsidR="00D57354">
        <w:t> </w:t>
      </w:r>
      <w:r>
        <w:t xml:space="preserve">7.11 of the </w:t>
      </w:r>
      <w:hyperlink r:id="rId22" w:history="1">
        <w:r w:rsidRPr="003D7151">
          <w:rPr>
            <w:rStyle w:val="Hyperlink"/>
            <w:i/>
            <w:iCs/>
          </w:rPr>
          <w:t>Civil Procedure Rules 1998</w:t>
        </w:r>
        <w:r w:rsidRPr="003D7151">
          <w:rPr>
            <w:rStyle w:val="Hyperlink"/>
          </w:rPr>
          <w:t xml:space="preserve"> (UK)</w:t>
        </w:r>
      </w:hyperlink>
      <w:r>
        <w:t xml:space="preserve"> states that any claim under the UK Act may be brought in any court, with the exception of a claim about a judicial act which may only be brought in the High Court. </w:t>
      </w:r>
      <w:r w:rsidR="000517DA">
        <w:t>Of note, n</w:t>
      </w:r>
      <w:r>
        <w:t xml:space="preserve">o Australian jurisdiction allows a claim about a breach of human rights to be made against the judiciary. </w:t>
      </w:r>
    </w:p>
    <w:p w14:paraId="13EF7CDA" w14:textId="2C55C6B9" w:rsidR="005C7DEF" w:rsidRDefault="005C7DEF">
      <w:pPr>
        <w:spacing w:before="0" w:after="160" w:line="259" w:lineRule="auto"/>
        <w:rPr>
          <w:rFonts w:ascii="Arial Bold" w:hAnsi="Arial Bold"/>
          <w:bCs/>
          <w:color w:val="000000" w:themeColor="text1"/>
          <w:sz w:val="24"/>
          <w:szCs w:val="26"/>
        </w:rPr>
      </w:pPr>
    </w:p>
    <w:p w14:paraId="4637501B" w14:textId="41C1BF59" w:rsidR="00090549" w:rsidRDefault="00E26863" w:rsidP="00A552A2">
      <w:pPr>
        <w:pStyle w:val="Heading3"/>
      </w:pPr>
      <w:bookmarkStart w:id="13" w:name="_Toc199342770"/>
      <w:r>
        <w:t>D. ACAT Pathway Models</w:t>
      </w:r>
      <w:bookmarkEnd w:id="13"/>
    </w:p>
    <w:p w14:paraId="1C40BE2F" w14:textId="0DA773E0" w:rsidR="00B139EF" w:rsidRDefault="00E26863" w:rsidP="0090471C">
      <w:pPr>
        <w:pStyle w:val="bullet10"/>
      </w:pPr>
      <w:r>
        <w:t xml:space="preserve">There are two </w:t>
      </w:r>
      <w:r w:rsidR="0097750E">
        <w:t xml:space="preserve">primary models for how the ACAT pathway could </w:t>
      </w:r>
      <w:r w:rsidR="00866CAC">
        <w:t>fit within the existing human rights complaints system. The first is th</w:t>
      </w:r>
      <w:r w:rsidR="00161197">
        <w:t>at the</w:t>
      </w:r>
      <w:r w:rsidR="00866CAC">
        <w:t xml:space="preserve"> ACAT pathway </w:t>
      </w:r>
      <w:r w:rsidR="007446BE">
        <w:t xml:space="preserve">sits alongside the existing direct cause of action to the Supreme Court, and the second is that the ACAT pathway </w:t>
      </w:r>
      <w:r w:rsidR="00161197">
        <w:t xml:space="preserve">becomes a prerequisite for an application to the Supreme Court. </w:t>
      </w:r>
    </w:p>
    <w:p w14:paraId="2B22363B" w14:textId="1372D838" w:rsidR="00B139EF" w:rsidRDefault="00B139EF" w:rsidP="00B139EF">
      <w:pPr>
        <w:pStyle w:val="Heading4"/>
      </w:pPr>
      <w:proofErr w:type="spellStart"/>
      <w:r>
        <w:t>i</w:t>
      </w:r>
      <w:proofErr w:type="spellEnd"/>
      <w:r>
        <w:t>. ACAT Pathway Alongside Standalone Cause of Action</w:t>
      </w:r>
    </w:p>
    <w:p w14:paraId="4D28DD33" w14:textId="06E0FB8E" w:rsidR="00BA7620" w:rsidRDefault="00BA7620" w:rsidP="00BA7620">
      <w:r>
        <w:t xml:space="preserve">The first possible option is to introduce a referral pathway to ACAT while preserving the existing standalone cause of action to the Supreme Court. This option would allow a complainant to choose to progress a complaint more informally through an internal complaint, to make a complaint to the Commission and to </w:t>
      </w:r>
      <w:r w:rsidR="008F0F2C">
        <w:rPr>
          <w:noProof/>
        </w:rPr>
        <w:lastRenderedPageBreak/>
        <mc:AlternateContent>
          <mc:Choice Requires="wps">
            <w:drawing>
              <wp:anchor distT="0" distB="0" distL="114300" distR="114300" simplePos="0" relativeHeight="251761151" behindDoc="0" locked="0" layoutInCell="1" allowOverlap="1" wp14:anchorId="3C319F8D" wp14:editId="77E189ED">
                <wp:simplePos x="0" y="0"/>
                <wp:positionH relativeFrom="margin">
                  <wp:posOffset>2723515</wp:posOffset>
                </wp:positionH>
                <wp:positionV relativeFrom="paragraph">
                  <wp:posOffset>-1085850</wp:posOffset>
                </wp:positionV>
                <wp:extent cx="1245235" cy="5588635"/>
                <wp:effectExtent l="0" t="0" r="31115" b="31115"/>
                <wp:wrapSquare wrapText="bothSides"/>
                <wp:docPr id="2061013431" name="Arrow: Bent 1"/>
                <wp:cNvGraphicFramePr/>
                <a:graphic xmlns:a="http://schemas.openxmlformats.org/drawingml/2006/main">
                  <a:graphicData uri="http://schemas.microsoft.com/office/word/2010/wordprocessingShape">
                    <wps:wsp>
                      <wps:cNvSpPr/>
                      <wps:spPr>
                        <a:xfrm rot="5400000">
                          <a:off x="0" y="0"/>
                          <a:ext cx="1245235" cy="5588635"/>
                        </a:xfrm>
                        <a:prstGeom prst="ben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77B95" id="Arrow: Bent 1" o:spid="_x0000_s1026" style="position:absolute;margin-left:214.45pt;margin-top:-85.5pt;width:98.05pt;height:440.05pt;rotation:90;z-index:2517611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45235,558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vYeQIAAF4FAAAOAAAAZHJzL2Uyb0RvYy54bWysVMFu2zAMvQ/YPwi6r46zuOuCOEXQosOA&#10;og3WDj0rshQbkEWNUuJkXz9Kdtyg62mYDwIpko/kM6nF9aE1bK/QN2BLnl9MOFNWQtXYbcl/Pt99&#10;uuLMB2ErYcCqkh+V59fLjx8WnZurKdRgKoWMQKyfd67kdQhunmVe1qoV/gKcsmTUgK0IpOI2q1B0&#10;hN6abDqZXGYdYOUQpPKebm97I18mfK2VDI9aexWYKTnVFtKJ6dzEM1suxHyLwtWNHMoQ/1BFKxpL&#10;SUeoWxEE22HzF1TbSAQPOlxIaDPQupEq9UDd5JM33TzVwqnUC5Hj3UiT/3+w8mH/5NZINHTOzz2J&#10;sYuDxpYhEFvFbBK/1BtVyw6JuuNInToEJukyn86K6eeCM0m2ori6uiSFULMeLII69OGbgpZFoeQb&#10;ZcMKEbqELfb3PvT+J78Y48E01V1jTFLiUKgbg2wv6HcKKQliNmQ588xeW0lSOBoV4439oTRrKip3&#10;mpKmKXsLmPemWlSqz5MXkYC+tjEidZYAI7KmCkfsAeC9YvMBZvCPoSoN6RjcMz2mOe/0FDxGpMxg&#10;wxjcNhbwvc5MOAXr3p/KP6MmihuojmvsfzotinfyrqH/dC98WAuknaBL2vPwSIc20JUcBomzGvD3&#10;e/fRn0aVrJx1tGMl9792AhVn5rulIf6az2ZxKZMyK75MScFzy+bcYnftDdB/z1N1SYz+wZxEjdC+&#10;0HOwilnJJKyk3CWXAU/KTeh3nx4UqVar5EaL6ES4t09ORvDIahzB58OLQDcMa6A5f4DTPor5m3Ht&#10;fWOkhdUugG7SLL/yOvBNS5wGZ3hw4itxriev12dx+QcAAP//AwBQSwMEFAAGAAgAAAAhAHiaQiji&#10;AAAACgEAAA8AAABkcnMvZG93bnJldi54bWxMj09Pg0AQxe8mfofNmHizC9ZAS1kaozEx/kls9dDj&#10;AlMgsrNkdwv02zue9DYz7+XN7+Xb2fRiROc7SwriRQQCqbJ1R42Cr8+nmxUIHzTVureECs7oYVtc&#10;XuQ6q+1EOxz3oREcQj7TCtoQhkxKX7VotF/YAYm1o3VGB15dI2unJw43vbyNokQa3RF/aPWADy1W&#10;3/uTUfCeLqd599hMH+H15fg2ls/u7nxQ6vpqvt+ACDiHPzP84jM6FMxU2hPVXvQKVsmanXxPY+7E&#10;hnWS8lAqWCZpDLLI5f8KxQ8AAAD//wMAUEsBAi0AFAAGAAgAAAAhALaDOJL+AAAA4QEAABMAAAAA&#10;AAAAAAAAAAAAAAAAAFtDb250ZW50X1R5cGVzXS54bWxQSwECLQAUAAYACAAAACEAOP0h/9YAAACU&#10;AQAACwAAAAAAAAAAAAAAAAAvAQAAX3JlbHMvLnJlbHNQSwECLQAUAAYACAAAACEAWFFL2HkCAABe&#10;BQAADgAAAAAAAAAAAAAAAAAuAgAAZHJzL2Uyb0RvYy54bWxQSwECLQAUAAYACAAAACEAeJpCKOIA&#10;AAAKAQAADwAAAAAAAAAAAAAAAADTBAAAZHJzL2Rvd25yZXYueG1sUEsFBgAAAAAEAAQA8wAAAOIF&#10;AAAAAA==&#10;" path="m,5588635l,700445c,399566,243911,155655,544790,155655r389136,-1l933926,r311309,311309l933926,622618r,-155655l544790,466963v-128949,,-233482,104533,-233482,233482c311308,2329842,311309,3959238,311309,5588635l,5588635xe" fillcolor="#ffc000 [3207]" strokecolor="#091723 [484]" strokeweight="1pt">
                <v:stroke joinstyle="miter"/>
                <v:path arrowok="t" o:connecttype="custom" o:connectlocs="0,5588635;0,700445;544790,155655;933926,155654;933926,0;1245235,311309;933926,622618;933926,466963;544790,466963;311308,700445;311309,5588635;0,5588635" o:connectangles="0,0,0,0,0,0,0,0,0,0,0,0"/>
                <w10:wrap type="square" anchorx="margin"/>
              </v:shape>
            </w:pict>
          </mc:Fallback>
        </mc:AlternateContent>
      </w:r>
      <w:r>
        <w:t>request a referral to ACAT if it is not able to be resolved, without removing the possibility of making a</w:t>
      </w:r>
      <w:r w:rsidR="003923D7">
        <w:t xml:space="preserve"> direct</w:t>
      </w:r>
      <w:r>
        <w:t xml:space="preserve"> application to the Supreme Court </w:t>
      </w:r>
      <w:r w:rsidR="003923D7">
        <w:t xml:space="preserve">instead </w:t>
      </w:r>
      <w:r>
        <w:t>at any time</w:t>
      </w:r>
      <w:r w:rsidR="00D57354">
        <w:t xml:space="preserve"> (provided that the complainant did not seek to pursue </w:t>
      </w:r>
      <w:r w:rsidR="003D7151">
        <w:t>both</w:t>
      </w:r>
      <w:r w:rsidR="00D57354">
        <w:t xml:space="preserve"> </w:t>
      </w:r>
      <w:r w:rsidR="003923D7">
        <w:t>pathways</w:t>
      </w:r>
      <w:r w:rsidR="00D57354">
        <w:t xml:space="preserve"> at the same time)</w:t>
      </w:r>
      <w:r>
        <w:t xml:space="preserve">. This approach would be similar to the UK model where there is no prerequisite to make a complaint to the </w:t>
      </w:r>
      <w:r w:rsidR="008F05AE">
        <w:t xml:space="preserve">UK equivalent of the ACT </w:t>
      </w:r>
      <w:r>
        <w:t xml:space="preserve">Human Rights Commission first. </w:t>
      </w:r>
    </w:p>
    <w:p w14:paraId="11CB5B32" w14:textId="38F3AB69" w:rsidR="00B139EF" w:rsidRDefault="008A37EC" w:rsidP="00B139EF">
      <w:r>
        <w:rPr>
          <w:noProof/>
        </w:rPr>
        <mc:AlternateContent>
          <mc:Choice Requires="wps">
            <w:drawing>
              <wp:anchor distT="0" distB="0" distL="114300" distR="114300" simplePos="0" relativeHeight="251796480" behindDoc="0" locked="0" layoutInCell="1" allowOverlap="1" wp14:anchorId="681EB061" wp14:editId="743FE6B3">
                <wp:simplePos x="0" y="0"/>
                <wp:positionH relativeFrom="column">
                  <wp:posOffset>2758440</wp:posOffset>
                </wp:positionH>
                <wp:positionV relativeFrom="paragraph">
                  <wp:posOffset>208915</wp:posOffset>
                </wp:positionV>
                <wp:extent cx="1533525" cy="268605"/>
                <wp:effectExtent l="0" t="0" r="9525" b="0"/>
                <wp:wrapSquare wrapText="bothSides"/>
                <wp:docPr id="205655843" name="Text Box 8"/>
                <wp:cNvGraphicFramePr/>
                <a:graphic xmlns:a="http://schemas.openxmlformats.org/drawingml/2006/main">
                  <a:graphicData uri="http://schemas.microsoft.com/office/word/2010/wordprocessingShape">
                    <wps:wsp>
                      <wps:cNvSpPr txBox="1"/>
                      <wps:spPr>
                        <a:xfrm>
                          <a:off x="0" y="0"/>
                          <a:ext cx="1533525" cy="268605"/>
                        </a:xfrm>
                        <a:prstGeom prst="rect">
                          <a:avLst/>
                        </a:prstGeom>
                        <a:solidFill>
                          <a:schemeClr val="accent4"/>
                        </a:solidFill>
                        <a:ln w="6350">
                          <a:noFill/>
                        </a:ln>
                      </wps:spPr>
                      <wps:txbx>
                        <w:txbxContent>
                          <w:p w14:paraId="372B704B" w14:textId="77777777" w:rsidR="00B139EF" w:rsidRPr="00951406" w:rsidRDefault="00B139EF" w:rsidP="00B139EF">
                            <w:pPr>
                              <w:spacing w:before="0" w:after="0" w:line="240" w:lineRule="auto"/>
                            </w:pPr>
                            <w:r>
                              <w:t>Direct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B061" id="Text Box 8" o:spid="_x0000_s1027" type="#_x0000_t202" style="position:absolute;margin-left:217.2pt;margin-top:16.45pt;width:120.75pt;height:21.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aBMQIAAF8EAAAOAAAAZHJzL2Uyb0RvYy54bWysVE1v2zAMvQ/YfxB0X+x8OGuDOEWWIsOA&#10;oC2QDj0rshQbkEVNUmJnv36U7Hys22nYRaZE6pF8fPL8oa0VOQrrKtA5HQ5SSoTmUFR6n9Pvr+tP&#10;d5Q4z3TBFGiR05Nw9GHx8cO8MTMxghJUISxBEO1mjclp6b2ZJYnjpaiZG4ARGp0SbM08bu0+KSxr&#10;EL1WyShNp0kDtjAWuHAOTx87J11EfCkF989SOuGJyinW5uNq47oLa7KYs9neMlNWvC+D/UMVNas0&#10;Jr1APTLPyMFWf0DVFbfgQPoBhzoBKSsuYg/YzTB91822ZEbEXpAcZy40uf8Hy5+OW/NiiW+/QIsD&#10;DIQ0xs0cHoZ+Wmnr8MVKCfqRwtOFNtF6wsOlbDzORhklHH2j6d00zQJMcr1trPNfBdQkGDm1OJbI&#10;FjtunO9CzyEhmQNVFetKqbgJUhArZcmR4RAZ50L7SZ/gt0ilSZPT6ThLI7iGANGhK431XPsKlm93&#10;LamKm553UJyQCgudSpzh6wrr3TDnX5hFWWD3KHX/jItUgLmgtygpwf7823mIx2mhl5IGZZZT9+PA&#10;rKBEfdM4x/vhZBJ0GTeT7PMIN/bWs7v16EO9AiRhiI/K8GiGeK/OprRQv+GLWIas6GKaY+6c+rO5&#10;8p348UVxsVzGIFSiYX6jt4YH6EB6mMZr+8as6UfmcdhPcBYkm72bXBcbbmpYHjzIKo418Nyx2tOP&#10;Ko7C6F9ceCa3+xh1/S8sfgEAAP//AwBQSwMEFAAGAAgAAAAhAAMDIm/gAAAACQEAAA8AAABkcnMv&#10;ZG93bnJldi54bWxMj9FKw0AQRd8F/2EZwTe7MU3TJmZTVCiC1IJtP2CTHZNgdjZkt236945P+jbD&#10;HO49U6wn24szjr5zpOBxFoFAqp3pqFFwPGweViB80GR07wgVXNHDury9KXRu3IU+8bwPjeAQ8rlW&#10;0IYw5FL6ukWr/cwNSHz7cqPVgdexkWbUFw63vYyjKJVWd8QNrR7wtcX6e3+yXJKtrruh3rxv37A/&#10;pB8783KsMqXu76bnJxABp/AHw68+q0PJTpU7kfGiV5DMk4RRBfM4A8FAulzwUClYLmKQZSH/f1D+&#10;AAAA//8DAFBLAQItABQABgAIAAAAIQC2gziS/gAAAOEBAAATAAAAAAAAAAAAAAAAAAAAAABbQ29u&#10;dGVudF9UeXBlc10ueG1sUEsBAi0AFAAGAAgAAAAhADj9If/WAAAAlAEAAAsAAAAAAAAAAAAAAAAA&#10;LwEAAF9yZWxzLy5yZWxzUEsBAi0AFAAGAAgAAAAhAJtjpoExAgAAXwQAAA4AAAAAAAAAAAAAAAAA&#10;LgIAAGRycy9lMm9Eb2MueG1sUEsBAi0AFAAGAAgAAAAhAAMDIm/gAAAACQEAAA8AAAAAAAAAAAAA&#10;AAAAiwQAAGRycy9kb3ducmV2LnhtbFBLBQYAAAAABAAEAPMAAACYBQAAAAA=&#10;" fillcolor="#ffc000 [3207]" stroked="f" strokeweight=".5pt">
                <v:textbox>
                  <w:txbxContent>
                    <w:p w14:paraId="372B704B" w14:textId="77777777" w:rsidR="00B139EF" w:rsidRPr="00951406" w:rsidRDefault="00B139EF" w:rsidP="00B139EF">
                      <w:pPr>
                        <w:spacing w:before="0" w:after="0" w:line="240" w:lineRule="auto"/>
                      </w:pPr>
                      <w:r>
                        <w:t>Direct Application</w:t>
                      </w:r>
                    </w:p>
                  </w:txbxContent>
                </v:textbox>
                <w10:wrap type="square"/>
              </v:shape>
            </w:pict>
          </mc:Fallback>
        </mc:AlternateContent>
      </w:r>
    </w:p>
    <w:p w14:paraId="41763A0C" w14:textId="77777777" w:rsidR="00B139EF" w:rsidRPr="0015406D" w:rsidRDefault="00B139EF" w:rsidP="00B139EF">
      <w:r>
        <w:rPr>
          <w:noProof/>
        </w:rPr>
        <mc:AlternateContent>
          <mc:Choice Requires="wps">
            <w:drawing>
              <wp:anchor distT="0" distB="0" distL="114300" distR="114300" simplePos="0" relativeHeight="251798528" behindDoc="0" locked="0" layoutInCell="1" allowOverlap="1" wp14:anchorId="3DE7EA7D" wp14:editId="78E66F75">
                <wp:simplePos x="0" y="0"/>
                <wp:positionH relativeFrom="column">
                  <wp:posOffset>3861435</wp:posOffset>
                </wp:positionH>
                <wp:positionV relativeFrom="paragraph">
                  <wp:posOffset>74930</wp:posOffset>
                </wp:positionV>
                <wp:extent cx="647700" cy="457200"/>
                <wp:effectExtent l="19050" t="19050" r="0" b="95250"/>
                <wp:wrapSquare wrapText="bothSides"/>
                <wp:docPr id="71906935" name="Arrow: Striped Right 3"/>
                <wp:cNvGraphicFramePr/>
                <a:graphic xmlns:a="http://schemas.openxmlformats.org/drawingml/2006/main">
                  <a:graphicData uri="http://schemas.microsoft.com/office/word/2010/wordprocessingShape">
                    <wps:wsp>
                      <wps:cNvSpPr/>
                      <wps:spPr>
                        <a:xfrm rot="19023007">
                          <a:off x="0" y="0"/>
                          <a:ext cx="647700" cy="457200"/>
                        </a:xfrm>
                        <a:prstGeom prst="stripedRightArrow">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22B65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 o:spid="_x0000_s1026" type="#_x0000_t93" style="position:absolute;margin-left:304.05pt;margin-top:5.9pt;width:51pt;height:36pt;rotation:-2814764fd;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9KlAIAAKAFAAAOAAAAZHJzL2Uyb0RvYy54bWysVFFPGzEMfp+0/xDlfdxdVyhUXFEFYprE&#10;AAETzyGX60XKxZmT9tr9+jm561EB2sO0l8ix48/2F9vnF9vWsI1Cr8GWvDjKOVNWQqXtquQ/n66/&#10;nHLmg7CVMGBVyXfK84vF50/nnZurCTRgKoWMQKyfd67kTQhunmVeNqoV/gicsmSsAVsR6IqrrELR&#10;EXprskmen2QdYOUQpPKetFe9kS8Sfl0rGe7q2qvATMkpt5BOTOdLPLPFuZivULhGyyEN8Q9ZtEJb&#10;CjpCXYkg2Br1O6hWSwQPdTiS0GZQ11qqVANVU+RvqnlshFOpFiLHu5Em//9g5e3m0d0j0dA5P/ck&#10;xiq2NbYMgdgqzvLJ1zyfpeIoXbZN3O1G7tQ2MEnKk+lslhPDkkzT4xn9TeQ267EipkMfviloWRRK&#10;7gNqp6oHvWrCEhG6FEFsbnzo/fbvo68Ho6trbUy6xN5QlwbZRtCvCimVDdPkbtbtD6h6PWXQ5yDm&#10;pKYu6NWnezWllrosIqVED4Jkr2QkKeyMiqGNfVA10xXVO0kBR4TDXIre1IhK9erieEjlXcwEGJFr&#10;Km7EHgA+qrMYWB3eR1eV2nx0zv+WWE/t6JEigw2jc6st4EcAJoyR+/dE2QE1UXyBanePfdtQI3gn&#10;rzV99Y3w4V4gTRUpaVOEOzpqA13JYZA4awB/f6SP76nZycpZR1NKffNrLVBxZr5bGoOzYjqNY50u&#10;qe04w0PLy6HFrttLoJYpUnZJJGcMZi/WCO0zLZRljEomYSXFLrkMuL9chn570EqSarlMz2iUnQg3&#10;9tHJCB5Zjd37tH0W6IZ+DzQot7CfaDF/0+n92+hpYbkOUOs0Bq+8DnzTGkjNOqysuGcO7+nV62Jd&#10;/AEAAP//AwBQSwMEFAAGAAgAAAAhADZuTc7cAAAACQEAAA8AAABkcnMvZG93bnJldi54bWxMj8FO&#10;wzAQRO9I/IO1SFwqaqdAa4U4FQIhceHQwAe48TaJiNdR7LTJ37Oc4LgzT7MzxX72vTjjGLtABrK1&#10;AoFUB9dRY+Dr8+1Og4jJkrN9IDSwYIR9eX1V2NyFCx3wXKVGcAjF3BpoUxpyKWPdordxHQYk9k5h&#10;9DbxOTbSjfbC4b6XG6W20tuO+ENrB3xpsf6uJm+gWlbvH+pxWT1wkJyqTZxfdTTm9mZ+fgKRcE5/&#10;MPzW5+pQcqdjmMhF0RvYKp0xykbGExjYZYqFowF9r0GWhfy/oPwBAAD//wMAUEsBAi0AFAAGAAgA&#10;AAAhALaDOJL+AAAA4QEAABMAAAAAAAAAAAAAAAAAAAAAAFtDb250ZW50X1R5cGVzXS54bWxQSwEC&#10;LQAUAAYACAAAACEAOP0h/9YAAACUAQAACwAAAAAAAAAAAAAAAAAvAQAAX3JlbHMvLnJlbHNQSwEC&#10;LQAUAAYACAAAACEAze6fSpQCAACgBQAADgAAAAAAAAAAAAAAAAAuAgAAZHJzL2Uyb0RvYy54bWxQ&#10;SwECLQAUAAYACAAAACEANm5NztwAAAAJAQAADwAAAAAAAAAAAAAAAADuBAAAZHJzL2Rvd25yZXYu&#10;eG1sUEsFBgAAAAAEAAQA8wAAAPcFAAAAAA==&#10;" adj="13976" fillcolor="#fff2cc [663]" strokecolor="#091723 [484]" strokeweight="1pt">
                <w10:wrap type="square"/>
              </v:shape>
            </w:pict>
          </mc:Fallback>
        </mc:AlternateContent>
      </w:r>
      <w:r>
        <w:rPr>
          <w:noProof/>
        </w:rPr>
        <mc:AlternateContent>
          <mc:Choice Requires="wps">
            <w:drawing>
              <wp:anchor distT="0" distB="0" distL="114300" distR="114300" simplePos="0" relativeHeight="251797504" behindDoc="0" locked="0" layoutInCell="1" allowOverlap="1" wp14:anchorId="0D7DCFD3" wp14:editId="08B6C996">
                <wp:simplePos x="0" y="0"/>
                <wp:positionH relativeFrom="column">
                  <wp:posOffset>2270760</wp:posOffset>
                </wp:positionH>
                <wp:positionV relativeFrom="paragraph">
                  <wp:posOffset>36830</wp:posOffset>
                </wp:positionV>
                <wp:extent cx="647700" cy="457200"/>
                <wp:effectExtent l="19050" t="19050" r="0" b="95250"/>
                <wp:wrapSquare wrapText="bothSides"/>
                <wp:docPr id="1797518925" name="Arrow: Striped Right 3"/>
                <wp:cNvGraphicFramePr/>
                <a:graphic xmlns:a="http://schemas.openxmlformats.org/drawingml/2006/main">
                  <a:graphicData uri="http://schemas.microsoft.com/office/word/2010/wordprocessingShape">
                    <wps:wsp>
                      <wps:cNvSpPr/>
                      <wps:spPr>
                        <a:xfrm rot="19023007">
                          <a:off x="0" y="0"/>
                          <a:ext cx="647700" cy="457200"/>
                        </a:xfrm>
                        <a:prstGeom prst="stripedRightArrow">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C5165" id="Arrow: Striped Right 3" o:spid="_x0000_s1026" type="#_x0000_t93" style="position:absolute;margin-left:178.8pt;margin-top:2.9pt;width:51pt;height:36pt;rotation:-2814764fd;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9KlAIAAKAFAAAOAAAAZHJzL2Uyb0RvYy54bWysVFFPGzEMfp+0/xDlfdxdVyhUXFEFYprE&#10;AAETzyGX60XKxZmT9tr9+jm561EB2sO0l8ix48/2F9vnF9vWsI1Cr8GWvDjKOVNWQqXtquQ/n66/&#10;nHLmg7CVMGBVyXfK84vF50/nnZurCTRgKoWMQKyfd67kTQhunmVeNqoV/gicsmSsAVsR6IqrrELR&#10;EXprskmen2QdYOUQpPKetFe9kS8Sfl0rGe7q2qvATMkpt5BOTOdLPLPFuZivULhGyyEN8Q9ZtEJb&#10;CjpCXYkg2Br1O6hWSwQPdTiS0GZQ11qqVANVU+RvqnlshFOpFiLHu5Em//9g5e3m0d0j0dA5P/ck&#10;xiq2NbYMgdgqzvLJ1zyfpeIoXbZN3O1G7tQ2MEnKk+lslhPDkkzT4xn9TeQ267EipkMfviloWRRK&#10;7gNqp6oHvWrCEhG6FEFsbnzo/fbvo68Ho6trbUy6xN5QlwbZRtCvCimVDdPkbtbtD6h6PWXQ5yDm&#10;pKYu6NWnezWllrosIqVED4Jkr2QkKeyMiqGNfVA10xXVO0kBR4TDXIre1IhK9erieEjlXcwEGJFr&#10;Km7EHgA+qrMYWB3eR1eV2nx0zv+WWE/t6JEigw2jc6st4EcAJoyR+/dE2QE1UXyBanePfdtQI3gn&#10;rzV99Y3w4V4gTRUpaVOEOzpqA13JYZA4awB/f6SP76nZycpZR1NKffNrLVBxZr5bGoOzYjqNY50u&#10;qe04w0PLy6HFrttLoJYpUnZJJGcMZi/WCO0zLZRljEomYSXFLrkMuL9chn570EqSarlMz2iUnQg3&#10;9tHJCB5Zjd37tH0W6IZ+DzQot7CfaDF/0+n92+hpYbkOUOs0Bq+8DnzTGkjNOqysuGcO7+nV62Jd&#10;/AEAAP//AwBQSwMEFAAGAAgAAAAhAHImYc3cAAAACAEAAA8AAABkcnMvZG93bnJldi54bWxMj0FP&#10;g0AUhO8m/ofNM/HS2MVaCkUejdGYePEg9gds4QlE9i1hlxb+vc+THicz+WYmP8y2V2cafecY4X4d&#10;gSKuXN1xg3D8fL1LQflguDa9Y0JYyMOhuL7KTVa7C3/QuQyNEgj7zCC0IQyZ1r5qyRq/dgOxeF9u&#10;tCaIHBtdj+YicNvrTRTttDUdS0NrBnpuqfouJ4tQLqu39yheVlsB6anc+Pkl9Yi3N/PTI6hAc/gL&#10;w+98mQ6FbDq5iWuveoSHONlJFCGWB+Jv473oE0KSpKCLXP8/UPwAAAD//wMAUEsBAi0AFAAGAAgA&#10;AAAhALaDOJL+AAAA4QEAABMAAAAAAAAAAAAAAAAAAAAAAFtDb250ZW50X1R5cGVzXS54bWxQSwEC&#10;LQAUAAYACAAAACEAOP0h/9YAAACUAQAACwAAAAAAAAAAAAAAAAAvAQAAX3JlbHMvLnJlbHNQSwEC&#10;LQAUAAYACAAAACEAze6fSpQCAACgBQAADgAAAAAAAAAAAAAAAAAuAgAAZHJzL2Uyb0RvYy54bWxQ&#10;SwECLQAUAAYACAAAACEAciZhzdwAAAAIAQAADwAAAAAAAAAAAAAAAADuBAAAZHJzL2Rvd25yZXYu&#10;eG1sUEsFBgAAAAAEAAQA8wAAAPcFAAAAAA==&#10;" adj="13976" fillcolor="#fff2cc [663]" strokecolor="#091723 [484]" strokeweight="1pt">
                <w10:wrap type="square"/>
              </v:shape>
            </w:pict>
          </mc:Fallback>
        </mc:AlternateContent>
      </w:r>
      <w:r>
        <w:rPr>
          <w:noProof/>
        </w:rPr>
        <mc:AlternateContent>
          <mc:Choice Requires="wps">
            <w:drawing>
              <wp:anchor distT="0" distB="0" distL="114300" distR="114300" simplePos="0" relativeHeight="251793408" behindDoc="0" locked="0" layoutInCell="1" allowOverlap="1" wp14:anchorId="78345D31" wp14:editId="0BE82401">
                <wp:simplePos x="0" y="0"/>
                <wp:positionH relativeFrom="column">
                  <wp:posOffset>584835</wp:posOffset>
                </wp:positionH>
                <wp:positionV relativeFrom="paragraph">
                  <wp:posOffset>65405</wp:posOffset>
                </wp:positionV>
                <wp:extent cx="647700" cy="457200"/>
                <wp:effectExtent l="19050" t="19050" r="0" b="95250"/>
                <wp:wrapSquare wrapText="bothSides"/>
                <wp:docPr id="1670255013" name="Arrow: Striped Right 3"/>
                <wp:cNvGraphicFramePr/>
                <a:graphic xmlns:a="http://schemas.openxmlformats.org/drawingml/2006/main">
                  <a:graphicData uri="http://schemas.microsoft.com/office/word/2010/wordprocessingShape">
                    <wps:wsp>
                      <wps:cNvSpPr/>
                      <wps:spPr>
                        <a:xfrm rot="19023007">
                          <a:off x="0" y="0"/>
                          <a:ext cx="647700" cy="457200"/>
                        </a:xfrm>
                        <a:prstGeom prst="stripedRightArrow">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E0FB1" id="Arrow: Striped Right 3" o:spid="_x0000_s1026" type="#_x0000_t93" style="position:absolute;margin-left:46.05pt;margin-top:5.15pt;width:51pt;height:36pt;rotation:-2814764fd;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9KlAIAAKAFAAAOAAAAZHJzL2Uyb0RvYy54bWysVFFPGzEMfp+0/xDlfdxdVyhUXFEFYprE&#10;AAETzyGX60XKxZmT9tr9+jm561EB2sO0l8ix48/2F9vnF9vWsI1Cr8GWvDjKOVNWQqXtquQ/n66/&#10;nHLmg7CVMGBVyXfK84vF50/nnZurCTRgKoWMQKyfd67kTQhunmVeNqoV/gicsmSsAVsR6IqrrELR&#10;EXprskmen2QdYOUQpPKetFe9kS8Sfl0rGe7q2qvATMkpt5BOTOdLPLPFuZivULhGyyEN8Q9ZtEJb&#10;CjpCXYkg2Br1O6hWSwQPdTiS0GZQ11qqVANVU+RvqnlshFOpFiLHu5Em//9g5e3m0d0j0dA5P/ck&#10;xiq2NbYMgdgqzvLJ1zyfpeIoXbZN3O1G7tQ2MEnKk+lslhPDkkzT4xn9TeQ267EipkMfviloWRRK&#10;7gNqp6oHvWrCEhG6FEFsbnzo/fbvo68Ho6trbUy6xN5QlwbZRtCvCimVDdPkbtbtD6h6PWXQ5yDm&#10;pKYu6NWnezWllrosIqVED4Jkr2QkKeyMiqGNfVA10xXVO0kBR4TDXIre1IhK9erieEjlXcwEGJFr&#10;Km7EHgA+qrMYWB3eR1eV2nx0zv+WWE/t6JEigw2jc6st4EcAJoyR+/dE2QE1UXyBanePfdtQI3gn&#10;rzV99Y3w4V4gTRUpaVOEOzpqA13JYZA4awB/f6SP76nZycpZR1NKffNrLVBxZr5bGoOzYjqNY50u&#10;qe04w0PLy6HFrttLoJYpUnZJJGcMZi/WCO0zLZRljEomYSXFLrkMuL9chn570EqSarlMz2iUnQg3&#10;9tHJCB5Zjd37tH0W6IZ+DzQot7CfaDF/0+n92+hpYbkOUOs0Bq+8DnzTGkjNOqysuGcO7+nV62Jd&#10;/AEAAP//AwBQSwMEFAAGAAgAAAAhACeyA9ncAAAACAEAAA8AAABkcnMvZG93bnJldi54bWxMj8FO&#10;wzAQRO9I/QdrK3GpqN20oDTEqSoQEhcOBD7AjZckaryOYqdN/p7tCY47M3o7kx8m14kLDqH1pGGz&#10;ViCQKm9bqjV8f709pCBCNGRN5wk1zBjgUCzucpNZf6VPvJSxFgyhkBkNTYx9JmWoGnQmrH2PxN6P&#10;H5yJfA61tIO5Mtx1MlHqSTrTEn9oTI8vDVbncnQaynn1/qEe59WOQXIskzC9pkHr++V0fAYRcYp/&#10;YbjV5+pQcKeTH8kG0WnYJxtOsq62IG7+fsfCSUOabEEWufw/oPgFAAD//wMAUEsBAi0AFAAGAAgA&#10;AAAhALaDOJL+AAAA4QEAABMAAAAAAAAAAAAAAAAAAAAAAFtDb250ZW50X1R5cGVzXS54bWxQSwEC&#10;LQAUAAYACAAAACEAOP0h/9YAAACUAQAACwAAAAAAAAAAAAAAAAAvAQAAX3JlbHMvLnJlbHNQSwEC&#10;LQAUAAYACAAAACEAze6fSpQCAACgBQAADgAAAAAAAAAAAAAAAAAuAgAAZHJzL2Uyb0RvYy54bWxQ&#10;SwECLQAUAAYACAAAACEAJ7ID2dwAAAAIAQAADwAAAAAAAAAAAAAAAADuBAAAZHJzL2Rvd25yZXYu&#10;eG1sUEsFBgAAAAAEAAQA8wAAAPcFAAAAAA==&#10;" adj="13976" fillcolor="#fff2cc [663]" strokecolor="#091723 [484]" strokeweight="1pt">
                <w10:wrap type="square"/>
              </v:shape>
            </w:pict>
          </mc:Fallback>
        </mc:AlternateContent>
      </w:r>
    </w:p>
    <w:p w14:paraId="6F9DB0A1" w14:textId="77777777" w:rsidR="00B139EF" w:rsidRDefault="00B139EF" w:rsidP="00B139EF"/>
    <w:p w14:paraId="1FF471F4" w14:textId="18D4A53B" w:rsidR="008A37EC" w:rsidRPr="00945F5D" w:rsidRDefault="008A37EC" w:rsidP="00B139EF"/>
    <w:p w14:paraId="0F8DFB44" w14:textId="7FEADD91" w:rsidR="00B139EF" w:rsidRPr="005D3563" w:rsidRDefault="00B139EF" w:rsidP="00B139EF">
      <w:r>
        <w:rPr>
          <w:noProof/>
        </w:rPr>
        <mc:AlternateContent>
          <mc:Choice Requires="wps">
            <w:drawing>
              <wp:anchor distT="0" distB="0" distL="114300" distR="114300" simplePos="0" relativeHeight="251778048" behindDoc="0" locked="0" layoutInCell="1" allowOverlap="1" wp14:anchorId="63B9EFEF" wp14:editId="5371DDA8">
                <wp:simplePos x="0" y="0"/>
                <wp:positionH relativeFrom="column">
                  <wp:posOffset>4583430</wp:posOffset>
                </wp:positionH>
                <wp:positionV relativeFrom="paragraph">
                  <wp:posOffset>264160</wp:posOffset>
                </wp:positionV>
                <wp:extent cx="655320" cy="259080"/>
                <wp:effectExtent l="0" t="0" r="0" b="7620"/>
                <wp:wrapNone/>
                <wp:docPr id="1146743480" name="Text Box 8"/>
                <wp:cNvGraphicFramePr/>
                <a:graphic xmlns:a="http://schemas.openxmlformats.org/drawingml/2006/main">
                  <a:graphicData uri="http://schemas.microsoft.com/office/word/2010/wordprocessingShape">
                    <wps:wsp>
                      <wps:cNvSpPr txBox="1"/>
                      <wps:spPr>
                        <a:xfrm>
                          <a:off x="0" y="0"/>
                          <a:ext cx="655320" cy="259080"/>
                        </a:xfrm>
                        <a:prstGeom prst="rect">
                          <a:avLst/>
                        </a:prstGeom>
                        <a:solidFill>
                          <a:schemeClr val="accent4"/>
                        </a:solidFill>
                        <a:ln w="6350">
                          <a:noFill/>
                        </a:ln>
                      </wps:spPr>
                      <wps:txbx>
                        <w:txbxContent>
                          <w:p w14:paraId="75569314" w14:textId="77777777" w:rsidR="00B139EF" w:rsidRPr="00951406" w:rsidRDefault="00B139EF" w:rsidP="00B139EF">
                            <w:pPr>
                              <w:spacing w:before="0" w:after="0" w:line="240" w:lineRule="auto"/>
                            </w:pPr>
                            <w:r>
                              <w:t>Appeal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9EFEF" id="_x0000_s1028" type="#_x0000_t202" style="position:absolute;margin-left:360.9pt;margin-top:20.8pt;width:51.6pt;height:20.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zXMgIAAF4EAAAOAAAAZHJzL2Uyb0RvYy54bWysVF1v2yAUfZ+0/4B4X+ykSddacaosVaZJ&#10;UVspnfpMMMRImMuAxM5+/S44X+v2NO0FX7iX+3HOwdOHrtFkL5xXYEo6HOSUCMOhUmZb0u+vy093&#10;lPjATMU0GFHSg/D0Yfbxw7S1hRhBDboSjmAS44vWlrQOwRZZ5nktGuYHYIVBpwTXsIBbt80qx1rM&#10;3uhslOe3WQuusg648B5PH3snnaX8UgoenqX0IhBdUuwtpNWldRPXbDZlxdYxWyt+bIP9QxcNUwaL&#10;nlM9ssDIzqk/UjWKO/Agw4BDk4GUios0A04zzN9Ns66ZFWkWBMfbM0z+/6XlT/u1fXEkdF+gQwIj&#10;IK31hcfDOE8nXRO/2ClBP0J4OMMmukA4Ht5OJjcj9HB0jSb3+V2CNbtcts6HrwIaEo2SOmQlgcX2&#10;Kx+wIIaeQmItD1pVS6V12kQliIV2ZM+QQ8a5MGEc28Rbv0VqQ1ps5maSp+QGYoo+ThsMv4wVrdBt&#10;OqIq7Pg08gaqAyLhoBeJt3ypsN8V8+GFOVQFjohKD8+4SA1YC44WJTW4n387j/FIFnopaVFlJfU/&#10;dswJSvQ3gzTeD8fjKMu0GU8+RxjdtWdz7TG7ZgEIwhDflOXJjPFBn0zpoHnDBzGPVdHFDMfaJQ0n&#10;cxF67eOD4mI+T0EoRMvCyqwtj6kj6JGN1+6NOXukLCDXT3DSIyveMdfHxpsG5rsAUiVaI849qkf4&#10;UcSJt+ODi6/kep+iLr+F2S8AAAD//wMAUEsDBBQABgAIAAAAIQDzclqw3wAAAAkBAAAPAAAAZHJz&#10;L2Rvd25yZXYueG1sTI9RS8NAEITfBf/DsYJv9pJQYxpzKSoUQbRg2x9wyW2T0NxeyF3b9N+7fbJv&#10;O+ww802xnGwvTjj6zpGCeBaBQKqd6ahRsNuunjIQPmgyuneECi7oYVne3xU6N+5Mv3jahEZwCPlc&#10;K2hDGHIpfd2i1X7mBiT+7d1odWA5NtKM+szhtpdJFKXS6o64odUDfrRYHzZHyyWL7LIe6tXX9yf2&#10;2/Rnbd531UKpx4fp7RVEwCn8m+GKz+hQMlPljmS86BW8JDGjBwXzOAXBhix55nHV9ZiDLAt5u6D8&#10;AwAA//8DAFBLAQItABQABgAIAAAAIQC2gziS/gAAAOEBAAATAAAAAAAAAAAAAAAAAAAAAABbQ29u&#10;dGVudF9UeXBlc10ueG1sUEsBAi0AFAAGAAgAAAAhADj9If/WAAAAlAEAAAsAAAAAAAAAAAAAAAAA&#10;LwEAAF9yZWxzLy5yZWxzUEsBAi0AFAAGAAgAAAAhAM9CLNcyAgAAXgQAAA4AAAAAAAAAAAAAAAAA&#10;LgIAAGRycy9lMm9Eb2MueG1sUEsBAi0AFAAGAAgAAAAhAPNyWrDfAAAACQEAAA8AAAAAAAAAAAAA&#10;AAAAjAQAAGRycy9kb3ducmV2LnhtbFBLBQYAAAAABAAEAPMAAACYBQAAAAA=&#10;" fillcolor="#ffc000 [3207]" stroked="f" strokeweight=".5pt">
                <v:textbox>
                  <w:txbxContent>
                    <w:p w14:paraId="75569314" w14:textId="77777777" w:rsidR="00B139EF" w:rsidRPr="00951406" w:rsidRDefault="00B139EF" w:rsidP="00B139EF">
                      <w:pPr>
                        <w:spacing w:before="0" w:after="0" w:line="240" w:lineRule="auto"/>
                      </w:pPr>
                      <w:r>
                        <w:t>Appeal</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1D849AA0" wp14:editId="032C9E8E">
                <wp:simplePos x="0" y="0"/>
                <wp:positionH relativeFrom="column">
                  <wp:posOffset>5307330</wp:posOffset>
                </wp:positionH>
                <wp:positionV relativeFrom="paragraph">
                  <wp:posOffset>161290</wp:posOffset>
                </wp:positionV>
                <wp:extent cx="982980" cy="502920"/>
                <wp:effectExtent l="0" t="0" r="7620" b="0"/>
                <wp:wrapNone/>
                <wp:docPr id="31905211" name="Text Box 7"/>
                <wp:cNvGraphicFramePr/>
                <a:graphic xmlns:a="http://schemas.openxmlformats.org/drawingml/2006/main">
                  <a:graphicData uri="http://schemas.microsoft.com/office/word/2010/wordprocessingShape">
                    <wps:wsp>
                      <wps:cNvSpPr txBox="1"/>
                      <wps:spPr>
                        <a:xfrm>
                          <a:off x="0" y="0"/>
                          <a:ext cx="982980" cy="502920"/>
                        </a:xfrm>
                        <a:prstGeom prst="rect">
                          <a:avLst/>
                        </a:prstGeom>
                        <a:solidFill>
                          <a:schemeClr val="accent2"/>
                        </a:solidFill>
                        <a:ln w="6350">
                          <a:noFill/>
                        </a:ln>
                      </wps:spPr>
                      <wps:txbx>
                        <w:txbxContent>
                          <w:p w14:paraId="09908C9A" w14:textId="77777777" w:rsidR="00B139EF" w:rsidRPr="005D3563" w:rsidRDefault="00B139EF" w:rsidP="00B139EF">
                            <w:pPr>
                              <w:spacing w:before="0" w:after="0" w:line="240" w:lineRule="auto"/>
                              <w:jc w:val="center"/>
                              <w:rPr>
                                <w:sz w:val="24"/>
                                <w:szCs w:val="22"/>
                              </w:rPr>
                            </w:pPr>
                            <w:r>
                              <w:rPr>
                                <w:sz w:val="24"/>
                                <w:szCs w:val="22"/>
                              </w:rPr>
                              <w:t>Supreme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849AA0" id="Text Box 7" o:spid="_x0000_s1029" type="#_x0000_t202" style="position:absolute;margin-left:417.9pt;margin-top:12.7pt;width:77.4pt;height:39.6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APNQIAAGAEAAAOAAAAZHJzL2Uyb0RvYy54bWysVEtv2zAMvg/YfxB0X+y4SZcYcYosRYYB&#10;QVsgHXpWZCk2IIuapMTOfv0oOa91Ow27yKRI8fF9pGcPXaPIQVhXgy7ocJBSIjSHsta7gn5/XX2a&#10;UOI80yVToEVBj8LRh/nHD7PW5CKDClQpLMEg2uWtKWjlvcmTxPFKNMwNwAiNRgm2YR5Vu0tKy1qM&#10;3qgkS9P7pAVbGgtcOIe3j72RzmN8KQX3z1I64YkqKNbm42njuQ1nMp+xfGeZqWp+KoP9QxUNqzUm&#10;vYR6ZJ6Rva3/CNXU3IID6QccmgSkrLmIPWA3w/RdN5uKGRF7QXCcucDk/l9Y/nTYmBdLfPcFOiQw&#10;ANIalzu8DP100jbhi5UStCOExwtsovOE4+V0kk0naOFoGqfZNIuwJtfHxjr/VUBDglBQi6xEsNhh&#10;7TwmRNezS8jlQNXlqlYqKmESxFJZcmDIIeNcaJ+FMvHVb55Kk7ag93fjNAbXEEL0fkqj+7WtIPlu&#10;25G6LOjdueUtlEdEwkI/JM7wVY31rpnzL8ziVGCLOOn+GQ+pAHPBSaKkAvvzb/fBH8lCKyUtTllB&#10;3Y89s4IS9U0jjdPhaBTGMiqj8WeEjthby/bWovfNEhCEIe6U4VEM/l6dRWmhecOFWISsaGKaY+6C&#10;cm/PytL3048rxcViEd1wFA3za70xPAQPsAc+Xrs3Zs2JNI9sP8F5Iln+jrveN7zUsNh7kHUkNiDd&#10;43oiAMc4MndaubAnt3r0uv4Y5r8AAAD//wMAUEsDBBQABgAIAAAAIQASlsmP4QAAAAoBAAAPAAAA&#10;ZHJzL2Rvd25yZXYueG1sTI9BT4QwEIXvJv6HZky8GLd1BZZFysZoOKyJh12N50JHINAWaZfFf+94&#10;0uPkfXnvm3y3mIHNOPnOWQl3KwEMbe10ZxsJ72/lbQrMB2W1GpxFCd/oYVdcXuQq0+5sDzgfQ8Oo&#10;xPpMSWhDGDPOfd2iUX7lRrSUfbrJqEDn1HA9qTOVm4GvhUi4UZ2lhVaN+NRi3R9PRkL//Hq42cf7&#10;l3QzR+XXUn5sqt5IeX21PD4AC7iEPxh+9UkdCnKq3MlqzwYJ6X1M6kHCOo6AEbDdigRYRaSIEuBF&#10;zv+/UPwAAAD//wMAUEsBAi0AFAAGAAgAAAAhALaDOJL+AAAA4QEAABMAAAAAAAAAAAAAAAAAAAAA&#10;AFtDb250ZW50X1R5cGVzXS54bWxQSwECLQAUAAYACAAAACEAOP0h/9YAAACUAQAACwAAAAAAAAAA&#10;AAAAAAAvAQAAX3JlbHMvLnJlbHNQSwECLQAUAAYACAAAACEAZwagDzUCAABgBAAADgAAAAAAAAAA&#10;AAAAAAAuAgAAZHJzL2Uyb0RvYy54bWxQSwECLQAUAAYACAAAACEAEpbJj+EAAAAKAQAADwAAAAAA&#10;AAAAAAAAAACPBAAAZHJzL2Rvd25yZXYueG1sUEsFBgAAAAAEAAQA8wAAAJ0FAAAAAA==&#10;" fillcolor="#ed7d31 [3205]" stroked="f" strokeweight=".5pt">
                <v:textbox>
                  <w:txbxContent>
                    <w:p w14:paraId="09908C9A" w14:textId="77777777" w:rsidR="00B139EF" w:rsidRPr="005D3563" w:rsidRDefault="00B139EF" w:rsidP="00B139EF">
                      <w:pPr>
                        <w:spacing w:before="0" w:after="0" w:line="240" w:lineRule="auto"/>
                        <w:jc w:val="center"/>
                        <w:rPr>
                          <w:sz w:val="24"/>
                          <w:szCs w:val="22"/>
                        </w:rPr>
                      </w:pPr>
                      <w:r>
                        <w:rPr>
                          <w:sz w:val="24"/>
                          <w:szCs w:val="22"/>
                        </w:rPr>
                        <w:t>Supreme Court</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61CB6A6D" wp14:editId="53BEC452">
                <wp:simplePos x="0" y="0"/>
                <wp:positionH relativeFrom="column">
                  <wp:posOffset>2777490</wp:posOffset>
                </wp:positionH>
                <wp:positionV relativeFrom="paragraph">
                  <wp:posOffset>119380</wp:posOffset>
                </wp:positionV>
                <wp:extent cx="960120" cy="563880"/>
                <wp:effectExtent l="0" t="19050" r="30480" b="45720"/>
                <wp:wrapNone/>
                <wp:docPr id="1326150577" name="Arrow: Right 6"/>
                <wp:cNvGraphicFramePr/>
                <a:graphic xmlns:a="http://schemas.openxmlformats.org/drawingml/2006/main">
                  <a:graphicData uri="http://schemas.microsoft.com/office/word/2010/wordprocessingShape">
                    <wps:wsp>
                      <wps:cNvSpPr/>
                      <wps:spPr>
                        <a:xfrm>
                          <a:off x="0" y="0"/>
                          <a:ext cx="960120" cy="563880"/>
                        </a:xfrm>
                        <a:prstGeom prst="righ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2F34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218.7pt;margin-top:9.4pt;width:75.6pt;height:44.4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FNcgIAAE8FAAAOAAAAZHJzL2Uyb0RvYy54bWysVE1v2zAMvQ/YfxB0X21nadcGcYqgRYcB&#10;RVusHXpWZCk2IIsapcTJfv0o2XGCrthh2EWmTPLxQ4+cX+9aw7YKfQO25MVZzpmyEqrGrkv+4+Xu&#10;0yVnPghbCQNWlXyvPL9efPww79xMTaAGUylkBGL9rHMlr0Nwsyzzslat8GfglCWlBmxFoCuuswpF&#10;R+itySZ5fpF1gJVDkMp7+nvbK/ki4WutZHjU2qvATMkpt5BOTOcqntliLmZrFK5u5JCG+IcsWtFY&#10;CjpC3Yog2AabP6DaRiJ40OFMQpuB1o1UqQaqpsjfVPNcC6dSLdQc78Y2+f8HKx+2z+4JqQ2d8zNP&#10;Yqxip7GNX8qP7VKz9mOz1C4wST+vLvJiQi2VpDq/+Hx5mZqZHZ0d+vBVQcuiUHJs1nVYIkKXGiW2&#10;9z5QWHI4GMaIHkxT3TXGpEtkgboxyLaC3k9IqWyYxjcjrxPL7Jh7ksLeqOhv7HelWVNRtpMUNNHq&#10;LWDRq2pRqT5OcZ7nh2JGjxQzAUZkTRmO2APAe8kWQ7KDfXRViZWjc/63xPpKR48UGWwYndvGAr4H&#10;YMIYuben9E9aE8UVVPsnZAj9THgn7xp6qHvhw5NAGgJ6Wxrs8EiHNtCVHAaJsxrw13v/oz1xk7Sc&#10;dTRUJfc/NwIVZ+abJdZeFdNpnMJ0mZ5/ifzBU83qVGM37Q3Quxe0QpxMYrQP5iBqhPaV5n8Zo5JK&#10;WEmxSy4DHi43oR922iBSLZfJjCbPiXBvn52M4LGrkYIvu1eBbmBrIJo/wGEAxewNXXvb6GlhuQmg&#10;m8TlY1+HftPUJuIMGyauhdN7sjruwcVvAAAA//8DAFBLAwQUAAYACAAAACEAejihK+EAAAAKAQAA&#10;DwAAAGRycy9kb3ducmV2LnhtbEyPzU7DMBCE70i8g7VI3KgTKKkJcSqEBEJCFf3hADc33iaBeB3F&#10;bhvevssJjjvzaXammI+uEwccQutJQzpJQCBV3rZUa3jfPF0pECEasqbzhBp+MMC8PD8rTG79kVZ4&#10;WMdacAiF3GhoYuxzKUPVoDNh4nsk9nZ+cCbyOdTSDubI4a6T10mSSWda4g+N6fGxwep7vXcaFuHu&#10;M32mZfq12NUv7cfqTapXqfXlxfhwDyLiGP9g+K3P1aHkTlu/JxtEp2F6M5syyobiCQzcKpWB2LKQ&#10;zDKQZSH/TyhPAAAA//8DAFBLAQItABQABgAIAAAAIQC2gziS/gAAAOEBAAATAAAAAAAAAAAAAAAA&#10;AAAAAABbQ29udGVudF9UeXBlc10ueG1sUEsBAi0AFAAGAAgAAAAhADj9If/WAAAAlAEAAAsAAAAA&#10;AAAAAAAAAAAALwEAAF9yZWxzLy5yZWxzUEsBAi0AFAAGAAgAAAAhAPtokU1yAgAATwUAAA4AAAAA&#10;AAAAAAAAAAAALgIAAGRycy9lMm9Eb2MueG1sUEsBAi0AFAAGAAgAAAAhAHo4oSvhAAAACgEAAA8A&#10;AAAAAAAAAAAAAAAAzAQAAGRycy9kb3ducmV2LnhtbFBLBQYAAAAABAAEAPMAAADaBQAAAAA=&#10;" adj="15257" fillcolor="#ffc000 [3207]" strokecolor="#091723 [484]" strokeweight="1pt"/>
            </w:pict>
          </mc:Fallback>
        </mc:AlternateContent>
      </w:r>
      <w:r>
        <w:rPr>
          <w:noProof/>
        </w:rPr>
        <mc:AlternateContent>
          <mc:Choice Requires="wps">
            <w:drawing>
              <wp:anchor distT="0" distB="0" distL="114300" distR="114300" simplePos="0" relativeHeight="251774976" behindDoc="0" locked="0" layoutInCell="1" allowOverlap="1" wp14:anchorId="587E5DC5" wp14:editId="02E0428F">
                <wp:simplePos x="0" y="0"/>
                <wp:positionH relativeFrom="column">
                  <wp:posOffset>2842260</wp:posOffset>
                </wp:positionH>
                <wp:positionV relativeFrom="paragraph">
                  <wp:posOffset>274320</wp:posOffset>
                </wp:positionV>
                <wp:extent cx="685800" cy="259080"/>
                <wp:effectExtent l="0" t="0" r="0" b="7620"/>
                <wp:wrapNone/>
                <wp:docPr id="528870378" name="Text Box 8"/>
                <wp:cNvGraphicFramePr/>
                <a:graphic xmlns:a="http://schemas.openxmlformats.org/drawingml/2006/main">
                  <a:graphicData uri="http://schemas.microsoft.com/office/word/2010/wordprocessingShape">
                    <wps:wsp>
                      <wps:cNvSpPr txBox="1"/>
                      <wps:spPr>
                        <a:xfrm>
                          <a:off x="0" y="0"/>
                          <a:ext cx="685800" cy="259080"/>
                        </a:xfrm>
                        <a:prstGeom prst="rect">
                          <a:avLst/>
                        </a:prstGeom>
                        <a:solidFill>
                          <a:schemeClr val="accent4"/>
                        </a:solidFill>
                        <a:ln w="6350">
                          <a:noFill/>
                        </a:ln>
                      </wps:spPr>
                      <wps:txbx>
                        <w:txbxContent>
                          <w:p w14:paraId="74101CF2" w14:textId="77777777" w:rsidR="00B139EF" w:rsidRPr="00951406" w:rsidRDefault="00B139EF" w:rsidP="00B139EF">
                            <w:pPr>
                              <w:spacing w:before="0" w:after="0" w:line="240" w:lineRule="auto"/>
                            </w:pPr>
                            <w:r>
                              <w:t>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E5DC5" id="_x0000_s1030" type="#_x0000_t202" style="position:absolute;margin-left:223.8pt;margin-top:21.6pt;width:54pt;height:20.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gnMQIAAF4EAAAOAAAAZHJzL2Uyb0RvYy54bWysVEtv2zAMvg/YfxB0X+ykSZcacYosRYYB&#10;QVsgLXpWZCkWIIuapMTOfv0o5dlup2EXmRQpPr6P9OS+azTZCecVmJL2ezklwnColNmU9PVl8WVM&#10;iQ/MVEyDESXdC0/vp58/TVpbiAHUoCvhCAYxvmhtSesQbJFlnteiYb4HVhg0SnANC6i6TVY51mL0&#10;RmeDPL/NWnCVdcCF93j7cDDSaYovpeDhSUovAtElxdpCOl061/HMphNWbByzteLHMtg/VNEwZTDp&#10;OdQDC4xsnfojVKO4Aw8y9Dg0GUipuEg9YDf9/EM3q5pZkXpBcLw9w+T/X1j+uFvZZ0dC9w06JDAC&#10;0lpfeLyM/XTSNfGLlRK0I4T7M2yiC4Tj5e14NM7RwtE0GN3l4wRrdnlsnQ/fBTQkCiV1yEoCi+2W&#10;PmBCdD25xFwetKoWSuukxEkQc+3IjiGHjHNhwjCWia/eeWpDWizmZpSn4AZiiIOfNuh+aStKoVt3&#10;RFUlTbHizRqqPSLh4DAk3vKFwnqXzIdn5nAqsEWc9PCEh9SAueAoUVKD+/W3++iPZKGVkhanrKT+&#10;55Y5QYn+YZDGu/5wGMcyKcPR1wEq7tqyvraYbTMHBKGPO2V5EqN/0CdROmjecCFmMSuamOGYu6Th&#10;JM7DYfZxobiYzZITDqJlYWlWlsfQEfTIxkv3xpw9UhaQ60c4zSMrPjB38I0vDcy2AaRKtF5QPcKP&#10;Q5x4Oy5c3JJrPXldfgvT3wAAAP//AwBQSwMEFAAGAAgAAAAhAMxcY+3gAAAACQEAAA8AAABkcnMv&#10;ZG93bnJldi54bWxMj8FOwzAQRO9I/IO1SNyoQ0lCmsapAKlCQqUSbT/AibdJRLyOYrdN/57lBLfd&#10;ndHM22I12V6ccfSdIwWPswgEUu1MR42Cw379kIHwQZPRvSNUcEUPq/L2ptC5cRf6wvMuNIJDyOda&#10;QRvCkEvp6xat9jM3ILF2dKPVgdexkWbUFw63vZxHUSqt7ogbWj3gW4v19+5kuWSRXbdDvf7YvGO/&#10;Tz+35vVQLZS6v5teliACTuHPDL/4jA4lM1XuRMaLXkEcP6ds5eFpDoINSZLwoVKQxRHIspD/Pyh/&#10;AAAA//8DAFBLAQItABQABgAIAAAAIQC2gziS/gAAAOEBAAATAAAAAAAAAAAAAAAAAAAAAABbQ29u&#10;dGVudF9UeXBlc10ueG1sUEsBAi0AFAAGAAgAAAAhADj9If/WAAAAlAEAAAsAAAAAAAAAAAAAAAAA&#10;LwEAAF9yZWxzLy5yZWxzUEsBAi0AFAAGAAgAAAAhAI80qCcxAgAAXgQAAA4AAAAAAAAAAAAAAAAA&#10;LgIAAGRycy9lMm9Eb2MueG1sUEsBAi0AFAAGAAgAAAAhAMxcY+3gAAAACQEAAA8AAAAAAAAAAAAA&#10;AAAAiwQAAGRycy9kb3ducmV2LnhtbFBLBQYAAAAABAAEAPMAAACYBQAAAAA=&#10;" fillcolor="#ffc000 [3207]" stroked="f" strokeweight=".5pt">
                <v:textbox>
                  <w:txbxContent>
                    <w:p w14:paraId="74101CF2" w14:textId="77777777" w:rsidR="00B139EF" w:rsidRPr="00951406" w:rsidRDefault="00B139EF" w:rsidP="00B139EF">
                      <w:pPr>
                        <w:spacing w:before="0" w:after="0" w:line="240" w:lineRule="auto"/>
                      </w:pPr>
                      <w:r>
                        <w:t>Referral</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70662251" wp14:editId="193F6A60">
                <wp:simplePos x="0" y="0"/>
                <wp:positionH relativeFrom="column">
                  <wp:posOffset>3547110</wp:posOffset>
                </wp:positionH>
                <wp:positionV relativeFrom="paragraph">
                  <wp:posOffset>153670</wp:posOffset>
                </wp:positionV>
                <wp:extent cx="982980" cy="502920"/>
                <wp:effectExtent l="0" t="0" r="7620" b="0"/>
                <wp:wrapNone/>
                <wp:docPr id="1130099494" name="Text Box 7"/>
                <wp:cNvGraphicFramePr/>
                <a:graphic xmlns:a="http://schemas.openxmlformats.org/drawingml/2006/main">
                  <a:graphicData uri="http://schemas.microsoft.com/office/word/2010/wordprocessingShape">
                    <wps:wsp>
                      <wps:cNvSpPr txBox="1"/>
                      <wps:spPr>
                        <a:xfrm>
                          <a:off x="0" y="0"/>
                          <a:ext cx="982980" cy="502920"/>
                        </a:xfrm>
                        <a:prstGeom prst="rect">
                          <a:avLst/>
                        </a:prstGeom>
                        <a:solidFill>
                          <a:schemeClr val="accent2"/>
                        </a:solidFill>
                        <a:ln w="6350">
                          <a:noFill/>
                        </a:ln>
                      </wps:spPr>
                      <wps:txbx>
                        <w:txbxContent>
                          <w:p w14:paraId="366694F4" w14:textId="77777777" w:rsidR="00B139EF" w:rsidRPr="005D3563" w:rsidRDefault="00B139EF" w:rsidP="00B139EF">
                            <w:pPr>
                              <w:spacing w:before="0" w:after="0" w:line="240" w:lineRule="auto"/>
                              <w:jc w:val="center"/>
                              <w:rPr>
                                <w:sz w:val="24"/>
                                <w:szCs w:val="22"/>
                              </w:rPr>
                            </w:pPr>
                            <w:r>
                              <w:rPr>
                                <w:sz w:val="24"/>
                                <w:szCs w:val="22"/>
                              </w:rPr>
                              <w:t>ACAT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662251" id="_x0000_s1031" type="#_x0000_t202" style="position:absolute;margin-left:279.3pt;margin-top:12.1pt;width:77.4pt;height:39.6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OVNAIAAGAEAAAOAAAAZHJzL2Uyb0RvYy54bWysVEtv2zAMvg/YfxB0X+x4SZcYcYosRYYB&#10;QVsgLXpWZCk2IIuapMTOfv0oOa91Ow27yKRI8fF9pGf3XaPIQVhXgy7ocJBSIjSHsta7gr6+rD5N&#10;KHGe6ZIp0KKgR+Ho/fzjh1lrcpFBBaoUlmAQ7fLWFLTy3uRJ4nglGuYGYIRGowTbMI+q3SWlZS1G&#10;b1SSpeld0oItjQUunMPbh95I5zG+lIL7Jymd8EQVFGvz8bTx3IYzmc9YvrPMVDU/lcH+oYqG1RqT&#10;XkI9MM/I3tZ/hGpqbsGB9AMOTQJS1lzEHrCbYfqum03FjIi9IDjOXGBy/y8sfzxszLMlvvsKHRIY&#10;AGmNyx1ehn46aZvwxUoJ2hHC4wU20XnC8XI6yaYTtHA0jdNsmkVYk+tjY53/JqAhQSioRVYiWOyw&#10;dh4TouvZJeRyoOpyVSsVlTAJYqksOTDkkHEutM9CmfjqN0+lSVvQu8/jNAbXEEL0fkqj+7WtIPlu&#10;25G6xIrPLW+hPCISFvohcYavaqx3zZx/ZhanAlvESfdPeEgFmAtOEiUV2J9/uw/+SBZaKWlxygrq&#10;fuyZFZSo7xppnA5HozCWURmNvyB0xN5atrcWvW+WgCAMcacMj2Lw9+osSgvNGy7EImRFE9MccxeU&#10;e3tWlr6fflwpLhaL6IajaJhf643hIXiAPfDx0r0xa06keWT7Ec4TyfJ33PW+4aWGxd6DrCOxAeke&#10;1xMBOMaRudPKhT251aPX9ccw/wUAAP//AwBQSwMEFAAGAAgAAAAhAHCDps3hAAAACgEAAA8AAABk&#10;cnMvZG93bnJldi54bWxMj8FOg0AQhu8mvsNmTLwYuxShEGRpjIZDTXpoNT0v7BQI7C6yW4pv73jS&#10;20zmyz/fn28XPbAZJ9dZI2C9CoChqa3qTCPg86N8TIE5L42SgzUo4BsdbIvbm1xmyl7NAeejbxiF&#10;GJdJAa33Y8a5q1vU0q3siIZuZztp6WmdGq4meaVwPfAwCDZcy87Qh1aO+Npi3R8vWkD/tj887OLd&#10;e5rMUfm1lKek6rUQ93fLyzMwj4v/g+FXn9ShIKfKXoxybBAQx+mGUAFhFAIjIFk/RcAqIgMaeJHz&#10;/xWKHwAAAP//AwBQSwECLQAUAAYACAAAACEAtoM4kv4AAADhAQAAEwAAAAAAAAAAAAAAAAAAAAAA&#10;W0NvbnRlbnRfVHlwZXNdLnhtbFBLAQItABQABgAIAAAAIQA4/SH/1gAAAJQBAAALAAAAAAAAAAAA&#10;AAAAAC8BAABfcmVscy8ucmVsc1BLAQItABQABgAIAAAAIQARRPOVNAIAAGAEAAAOAAAAAAAAAAAA&#10;AAAAAC4CAABkcnMvZTJvRG9jLnhtbFBLAQItABQABgAIAAAAIQBwg6bN4QAAAAoBAAAPAAAAAAAA&#10;AAAAAAAAAI4EAABkcnMvZG93bnJldi54bWxQSwUGAAAAAAQABADzAAAAnAUAAAAA&#10;" fillcolor="#ed7d31 [3205]" stroked="f" strokeweight=".5pt">
                <v:textbox>
                  <w:txbxContent>
                    <w:p w14:paraId="366694F4" w14:textId="77777777" w:rsidR="00B139EF" w:rsidRPr="005D3563" w:rsidRDefault="00B139EF" w:rsidP="00B139EF">
                      <w:pPr>
                        <w:spacing w:before="0" w:after="0" w:line="240" w:lineRule="auto"/>
                        <w:jc w:val="center"/>
                        <w:rPr>
                          <w:sz w:val="24"/>
                          <w:szCs w:val="22"/>
                        </w:rPr>
                      </w:pPr>
                      <w:r>
                        <w:rPr>
                          <w:sz w:val="24"/>
                          <w:szCs w:val="22"/>
                        </w:rPr>
                        <w:t>ACAT</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30E0B37A" wp14:editId="3752178D">
                <wp:simplePos x="0" y="0"/>
                <wp:positionH relativeFrom="column">
                  <wp:posOffset>1870710</wp:posOffset>
                </wp:positionH>
                <wp:positionV relativeFrom="paragraph">
                  <wp:posOffset>142240</wp:posOffset>
                </wp:positionV>
                <wp:extent cx="982980" cy="502920"/>
                <wp:effectExtent l="0" t="0" r="7620" b="0"/>
                <wp:wrapNone/>
                <wp:docPr id="568151100" name="Text Box 7"/>
                <wp:cNvGraphicFramePr/>
                <a:graphic xmlns:a="http://schemas.openxmlformats.org/drawingml/2006/main">
                  <a:graphicData uri="http://schemas.microsoft.com/office/word/2010/wordprocessingShape">
                    <wps:wsp>
                      <wps:cNvSpPr txBox="1"/>
                      <wps:spPr>
                        <a:xfrm>
                          <a:off x="0" y="0"/>
                          <a:ext cx="982980" cy="502920"/>
                        </a:xfrm>
                        <a:prstGeom prst="rect">
                          <a:avLst/>
                        </a:prstGeom>
                        <a:solidFill>
                          <a:schemeClr val="accent2"/>
                        </a:solidFill>
                        <a:ln w="6350">
                          <a:noFill/>
                        </a:ln>
                      </wps:spPr>
                      <wps:txbx>
                        <w:txbxContent>
                          <w:p w14:paraId="2D2D326C" w14:textId="77777777" w:rsidR="00B139EF" w:rsidRPr="005D3563" w:rsidRDefault="00B139EF" w:rsidP="00B139EF">
                            <w:pPr>
                              <w:spacing w:before="0" w:after="0" w:line="240" w:lineRule="auto"/>
                              <w:rPr>
                                <w:sz w:val="24"/>
                                <w:szCs w:val="22"/>
                              </w:rPr>
                            </w:pPr>
                            <w:r w:rsidRPr="005D3563">
                              <w:rPr>
                                <w:sz w:val="24"/>
                                <w:szCs w:val="22"/>
                              </w:rPr>
                              <w:t>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E0B37A" id="_x0000_s1032" type="#_x0000_t202" style="position:absolute;margin-left:147.3pt;margin-top:11.2pt;width:77.4pt;height:39.6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rYNAIAAGAEAAAOAAAAZHJzL2Uyb0RvYy54bWysVEtv2zAMvg/YfxB0X+x4SZcYcYosRYYB&#10;QVsgLXpWZCk2IIuapMTOfv0oOa91Ow27yKRI8fF9pGf3XaPIQVhXgy7ocJBSIjSHsta7gr6+rD5N&#10;KHGe6ZIp0KKgR+Ho/fzjh1lrcpFBBaoUlmAQ7fLWFLTy3uRJ4nglGuYGYIRGowTbMI+q3SWlZS1G&#10;b1SSpeld0oItjQUunMPbh95I5zG+lIL7Jymd8EQVFGvz8bTx3IYzmc9YvrPMVDU/lcH+oYqG1RqT&#10;XkI9MM/I3tZ/hGpqbsGB9AMOTQJS1lzEHrCbYfqum03FjIi9IDjOXGBy/y8sfzxszLMlvvsKHRIY&#10;AGmNyx1ehn46aZvwxUoJ2hHC4wU20XnC8XI6yaYTtHA0jdNsmkVYk+tjY53/JqAhQSioRVYiWOyw&#10;dh4TouvZJeRyoOpyVSsVlTAJYqksOTDkkHEutM9CmfjqN0+lSVvQu8/jNAbXEEL0fkqj+7WtIPlu&#10;25G6xAfnlrdQHhEJC/2QOMNXNda7Zs4/M4tTgS3ipPsnPKQCzAUniZIK7M+/3Qd/JAutlLQ4ZQV1&#10;P/bMCkrUd400ToejURjLqIzGXxA6Ym8t21uL3jdLQBCGuFOGRzH4e3UWpYXmDRdiEbKiiWmOuQvK&#10;vT0rS99PP64UF4tFdMNRNMyv9cbwEDzAHvh46d6YNSfSPLL9COeJZPk77nrf8FLDYu9B1pHYgHSP&#10;64kAHOPI3Gnlwp7c6tHr+mOY/wIAAP//AwBQSwMEFAAGAAgAAAAhAM7uhbXgAAAACgEAAA8AAABk&#10;cnMvZG93bnJldi54bWxMj8FOwzAMhu9IvENkJC6IpatCt5WmEwL1MKQdNtDOaZO1VRunNFlX3h5z&#10;gttv+dPvz9l2tj2bzOhbhxKWiwiYwcrpFmsJnx/F4xqYDwq16h0aCd/Gwza/vclUqt0VD2Y6hppR&#10;CfpUSWhCGFLOfdUYq/zCDQZpd3ajVYHGseZ6VFcqtz2PoyjhVrVIFxo1mNfGVN3xYiV0b/vDw+5p&#10;975eTaL4movTquyslPd388szsGDm8AfDrz6pQ05Opbug9qyXEG9EQiiFWAAjQIgNhZLIaJkAzzP+&#10;/4X8BwAA//8DAFBLAQItABQABgAIAAAAIQC2gziS/gAAAOEBAAATAAAAAAAAAAAAAAAAAAAAAABb&#10;Q29udGVudF9UeXBlc10ueG1sUEsBAi0AFAAGAAgAAAAhADj9If/WAAAAlAEAAAsAAAAAAAAAAAAA&#10;AAAALwEAAF9yZWxzLy5yZWxzUEsBAi0AFAAGAAgAAAAhACrl2tg0AgAAYAQAAA4AAAAAAAAAAAAA&#10;AAAALgIAAGRycy9lMm9Eb2MueG1sUEsBAi0AFAAGAAgAAAAhAM7uhbXgAAAACgEAAA8AAAAAAAAA&#10;AAAAAAAAjgQAAGRycy9kb3ducmV2LnhtbFBLBQYAAAAABAAEAPMAAACbBQAAAAA=&#10;" fillcolor="#ed7d31 [3205]" stroked="f" strokeweight=".5pt">
                <v:textbox>
                  <w:txbxContent>
                    <w:p w14:paraId="2D2D326C" w14:textId="77777777" w:rsidR="00B139EF" w:rsidRPr="005D3563" w:rsidRDefault="00B139EF" w:rsidP="00B139EF">
                      <w:pPr>
                        <w:spacing w:before="0" w:after="0" w:line="240" w:lineRule="auto"/>
                        <w:rPr>
                          <w:sz w:val="24"/>
                          <w:szCs w:val="22"/>
                        </w:rPr>
                      </w:pPr>
                      <w:r w:rsidRPr="005D3563">
                        <w:rPr>
                          <w:sz w:val="24"/>
                          <w:szCs w:val="22"/>
                        </w:rPr>
                        <w:t>Commission</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635E59F5" wp14:editId="35ADEEC3">
                <wp:simplePos x="0" y="0"/>
                <wp:positionH relativeFrom="column">
                  <wp:posOffset>1116330</wp:posOffset>
                </wp:positionH>
                <wp:positionV relativeFrom="paragraph">
                  <wp:posOffset>127000</wp:posOffset>
                </wp:positionV>
                <wp:extent cx="815340" cy="563880"/>
                <wp:effectExtent l="0" t="19050" r="41910" b="45720"/>
                <wp:wrapNone/>
                <wp:docPr id="1475682641" name="Arrow: Right 6"/>
                <wp:cNvGraphicFramePr/>
                <a:graphic xmlns:a="http://schemas.openxmlformats.org/drawingml/2006/main">
                  <a:graphicData uri="http://schemas.microsoft.com/office/word/2010/wordprocessingShape">
                    <wps:wsp>
                      <wps:cNvSpPr/>
                      <wps:spPr>
                        <a:xfrm>
                          <a:off x="0" y="0"/>
                          <a:ext cx="815340" cy="563880"/>
                        </a:xfrm>
                        <a:prstGeom prst="righ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1AA99C" id="Arrow: Right 6" o:spid="_x0000_s1026" type="#_x0000_t13" style="position:absolute;margin-left:87.9pt;margin-top:10pt;width:64.2pt;height:44.4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vIcQIAAE8FAAAOAAAAZHJzL2Uyb0RvYy54bWysVE1v2zAMvQ/YfxB0X22nSZcFdYqgRYcB&#10;RVusHXpWZSk2IIsapcTJfv0o2XGCrthh2EUmTfLxQ4+6vNq1hm0V+gZsyYuznDNlJVSNXZf8x/Pt&#10;pzlnPghbCQNWlXyvPL9afvxw2bmFmkANplLICMT6RedKXofgFlnmZa1a4c/AKUtGDdiKQCquswpF&#10;R+itySZ5fpF1gJVDkMp7+nvTG/ky4WutZHjQ2qvATMmptpBOTOdrPLPlpVisUbi6kUMZ4h+qaEVj&#10;KekIdSOCYBts/oBqG4ngQYczCW0GWjdSpR6omyJ/081TLZxKvdBwvBvH5P8frLzfPrlHpDF0zi88&#10;ibGLncY2fqk+tkvD2o/DUrvAJP2cF7PzKY1Ukml2cT6fp2Fmx2CHPnxV0LIolBybdR1WiNClQYnt&#10;nQ+UlgIOjjGjB9NUt40xSYksUNcG2VbQ/QkplQ3TeGcUdeKZHWtPUtgbFeON/a40ayqqdpKSJlq9&#10;BSx6Uy0q1ecpZnl+aGaMSDkTYETWVOGIPQC8V2wxFDv4x1CVWDkG538rrO90jEiZwYYxuG0s4HsA&#10;JoyZe38q/2Q0UXyFav+IDKHfCe/kbUMXdSd8eBRIS0B3S4sdHujQBrqSwyBxVgP+eu9/9CdukpWz&#10;jpaq5P7nRqDizHyzxNovxTRSJiRlOvs8IQVPLa+nFrtpr4HuvaAnxMkkRv9gDqJGaF9o/1cxK5mE&#10;lZS75DLgQbkO/bLTCyLVapXcaPOcCHf2yckIHqcaKfi8exHoBrYGovk9HBZQLN7QtfeNkRZWmwC6&#10;SVw+znWYN21tIs7wwsRn4VRPXsd3cPkbAAD//wMAUEsDBBQABgAIAAAAIQCQLfxV3gAAAAoBAAAP&#10;AAAAZHJzL2Rvd25yZXYueG1sTI/BTsMwEETvSPyDtUjcqE0hJErjVAiEuHAhqYS4ufE2CY3XUey0&#10;4e9ZTnAczWjmTbFd3CBOOIXek4bblQKB1HjbU6thV7/cZCBCNGTN4Ak1fGOAbXl5UZjc+jO946mK&#10;reASCrnR0MU45lKGpkNnwsqPSOwd/ORMZDm10k7mzOVukGulHqQzPfFCZ0Z86rA5VrPT8FH7t/RY&#10;z1Wye/6qG0qT115+an19tTxuQERc4l8YfvEZHUpm2vuZbBAD6zRh9KiBZ0Bw4E7dr0Hs2VFZBrIs&#10;5P8L5Q8AAAD//wMAUEsBAi0AFAAGAAgAAAAhALaDOJL+AAAA4QEAABMAAAAAAAAAAAAAAAAAAAAA&#10;AFtDb250ZW50X1R5cGVzXS54bWxQSwECLQAUAAYACAAAACEAOP0h/9YAAACUAQAACwAAAAAAAAAA&#10;AAAAAAAvAQAAX3JlbHMvLnJlbHNQSwECLQAUAAYACAAAACEA1m5LyHECAABPBQAADgAAAAAAAAAA&#10;AAAAAAAuAgAAZHJzL2Uyb0RvYy54bWxQSwECLQAUAAYACAAAACEAkC38Vd4AAAAKAQAADwAAAAAA&#10;AAAAAAAAAADLBAAAZHJzL2Rvd25yZXYueG1sUEsFBgAAAAAEAAQA8wAAANYFAAAAAA==&#10;" adj="14131" fillcolor="#ffc000 [3207]" strokecolor="#091723 [484]" strokeweight="1pt"/>
            </w:pict>
          </mc:Fallback>
        </mc:AlternateContent>
      </w:r>
      <w:r>
        <w:rPr>
          <w:noProof/>
        </w:rPr>
        <mc:AlternateContent>
          <mc:Choice Requires="wps">
            <w:drawing>
              <wp:anchor distT="0" distB="0" distL="114300" distR="114300" simplePos="0" relativeHeight="251771904" behindDoc="0" locked="0" layoutInCell="1" allowOverlap="1" wp14:anchorId="6CAD71C0" wp14:editId="54F1B475">
                <wp:simplePos x="0" y="0"/>
                <wp:positionH relativeFrom="column">
                  <wp:posOffset>1139190</wp:posOffset>
                </wp:positionH>
                <wp:positionV relativeFrom="paragraph">
                  <wp:posOffset>287020</wp:posOffset>
                </wp:positionV>
                <wp:extent cx="647700" cy="251460"/>
                <wp:effectExtent l="0" t="0" r="0" b="0"/>
                <wp:wrapNone/>
                <wp:docPr id="798383187" name="Text Box 8"/>
                <wp:cNvGraphicFramePr/>
                <a:graphic xmlns:a="http://schemas.openxmlformats.org/drawingml/2006/main">
                  <a:graphicData uri="http://schemas.microsoft.com/office/word/2010/wordprocessingShape">
                    <wps:wsp>
                      <wps:cNvSpPr txBox="1"/>
                      <wps:spPr>
                        <a:xfrm>
                          <a:off x="0" y="0"/>
                          <a:ext cx="647700" cy="251460"/>
                        </a:xfrm>
                        <a:prstGeom prst="rect">
                          <a:avLst/>
                        </a:prstGeom>
                        <a:solidFill>
                          <a:schemeClr val="accent4"/>
                        </a:solidFill>
                        <a:ln w="6350">
                          <a:noFill/>
                        </a:ln>
                      </wps:spPr>
                      <wps:txbx>
                        <w:txbxContent>
                          <w:p w14:paraId="64504000" w14:textId="77777777" w:rsidR="00B139EF" w:rsidRPr="00951406" w:rsidRDefault="00B139EF" w:rsidP="00B139EF">
                            <w:pPr>
                              <w:spacing w:before="0" w:after="0" w:line="240" w:lineRule="auto"/>
                            </w:pPr>
                            <w:r w:rsidRPr="00951406">
                              <w:t>45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D71C0" id="_x0000_s1033" type="#_x0000_t202" style="position:absolute;margin-left:89.7pt;margin-top:22.6pt;width:51pt;height:19.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S5MgIAAF4EAAAOAAAAZHJzL2Uyb0RvYy54bWysVEtv2zAMvg/YfxB0X+xkeWxGnCJLkWFA&#10;0RZIh54VWYoFyKImKbGzXz9KzmvdTsMuMilSfHwf6fld12hyEM4rMCUdDnJKhOFQKbMr6feX9YdP&#10;lPjATMU0GFHSo/D0bvH+3by1hRhBDboSjmAQ44vWlrQOwRZZ5nktGuYHYIVBowTXsICq22WVYy1G&#10;b3Q2yvNp1oKrrAMuvMfb+95IFym+lIKHJym9CESXFGsL6XTp3MYzW8xZsXPM1oqfymD/UEXDlMGk&#10;l1D3LDCyd+qPUI3iDjzIMODQZCCl4iL1gN0M8zfdbGpmReoFwfH2ApP/f2H542Fjnx0J3RfokMAI&#10;SGt94fEy9tNJ18QvVkrQjhAeL7CJLhCOl9PxbJajhaNpNBmOpwnW7PrYOh++CmhIFErqkJUEFjs8&#10;+IAJ0fXsEnN50KpaK62TEidBrLQjB4YcMs6FCeNYJr76zVMb0mIxHyd5Cm4ghuj9tEH3a1tRCt22&#10;I6oq6ezc8haqIyLhoB8Sb/laYb0PzIdn5nAqsEWc9PCEh9SAueAkUVKD+/m3++iPZKGVkhanrKT+&#10;x545QYn+ZpDGz8PxOI5lUsaT2QgVd2vZ3lrMvlkBgjDEnbI8idE/6LMoHTSvuBDLmBVNzHDMXdJw&#10;Flehn31cKC6Wy+SEg2hZeDAby2PoCHpk46V7Zc6eKAvI9SOc55EVb5jrfeNLA8t9AKkSrRHnHtUT&#10;/DjEibfTwsUtudWT1/W3sPgFAAD//wMAUEsDBBQABgAIAAAAIQBces4E3gAAAAkBAAAPAAAAZHJz&#10;L2Rvd25yZXYueG1sTI/dSsNAEIXvBd9hGcE7u2mIdROzKSoUQbRg2wfYZMckmJ0N2W2bvr3jlV6e&#10;mY/zU65nN4gTTqH3pGG5SEAgNd721Go47Dd3CkSIhqwZPKGGCwZYV9dXpSmsP9MnnnaxFWxCoTAa&#10;uhjHQsrQdOhMWPgRiX9ffnImspxaaSdzZnM3yDRJVtKZnjihMyO+dNh8746OQ3J12Y7N5u39FYf9&#10;6mNrnw91rvXtzfz0CCLiHP9g+K3P1aHiTrU/kg1iYP2QZ4xqyO5TEAykasmHWoPKFMiqlP8XVD8A&#10;AAD//wMAUEsBAi0AFAAGAAgAAAAhALaDOJL+AAAA4QEAABMAAAAAAAAAAAAAAAAAAAAAAFtDb250&#10;ZW50X1R5cGVzXS54bWxQSwECLQAUAAYACAAAACEAOP0h/9YAAACUAQAACwAAAAAAAAAAAAAAAAAv&#10;AQAAX3JlbHMvLnJlbHNQSwECLQAUAAYACAAAACEA9XxUuTICAABeBAAADgAAAAAAAAAAAAAAAAAu&#10;AgAAZHJzL2Uyb0RvYy54bWxQSwECLQAUAAYACAAAACEAXHrOBN4AAAAJAQAADwAAAAAAAAAAAAAA&#10;AACMBAAAZHJzL2Rvd25yZXYueG1sUEsFBgAAAAAEAAQA8wAAAJcFAAAAAA==&#10;" fillcolor="#ffc000 [3207]" stroked="f" strokeweight=".5pt">
                <v:textbox>
                  <w:txbxContent>
                    <w:p w14:paraId="64504000" w14:textId="77777777" w:rsidR="00B139EF" w:rsidRPr="00951406" w:rsidRDefault="00B139EF" w:rsidP="00B139EF">
                      <w:pPr>
                        <w:spacing w:before="0" w:after="0" w:line="240" w:lineRule="auto"/>
                      </w:pPr>
                      <w:r w:rsidRPr="00951406">
                        <w:t>45 Days</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57A4C0F2" wp14:editId="668AF8F3">
                <wp:simplePos x="0" y="0"/>
                <wp:positionH relativeFrom="column">
                  <wp:posOffset>144780</wp:posOffset>
                </wp:positionH>
                <wp:positionV relativeFrom="paragraph">
                  <wp:posOffset>156210</wp:posOffset>
                </wp:positionV>
                <wp:extent cx="944880" cy="502920"/>
                <wp:effectExtent l="0" t="0" r="7620" b="0"/>
                <wp:wrapNone/>
                <wp:docPr id="1793765013" name="Text Box 7"/>
                <wp:cNvGraphicFramePr/>
                <a:graphic xmlns:a="http://schemas.openxmlformats.org/drawingml/2006/main">
                  <a:graphicData uri="http://schemas.microsoft.com/office/word/2010/wordprocessingShape">
                    <wps:wsp>
                      <wps:cNvSpPr txBox="1"/>
                      <wps:spPr>
                        <a:xfrm>
                          <a:off x="0" y="0"/>
                          <a:ext cx="944880" cy="502920"/>
                        </a:xfrm>
                        <a:prstGeom prst="rect">
                          <a:avLst/>
                        </a:prstGeom>
                        <a:solidFill>
                          <a:schemeClr val="accent2"/>
                        </a:solidFill>
                        <a:ln w="6350">
                          <a:noFill/>
                        </a:ln>
                      </wps:spPr>
                      <wps:txbx>
                        <w:txbxContent>
                          <w:p w14:paraId="1C7D9A2E" w14:textId="77777777" w:rsidR="00B139EF" w:rsidRPr="005D3563" w:rsidRDefault="00B139EF" w:rsidP="00B139EF">
                            <w:pPr>
                              <w:spacing w:before="0" w:after="0" w:line="240" w:lineRule="auto"/>
                              <w:jc w:val="center"/>
                              <w:rPr>
                                <w:sz w:val="24"/>
                                <w:szCs w:val="22"/>
                              </w:rPr>
                            </w:pPr>
                            <w:r w:rsidRPr="005D3563">
                              <w:rPr>
                                <w:sz w:val="24"/>
                                <w:szCs w:val="22"/>
                              </w:rPr>
                              <w:t>Internal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A4C0F2" id="_x0000_s1034" type="#_x0000_t202" style="position:absolute;margin-left:11.4pt;margin-top:12.3pt;width:74.4pt;height:39.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kBNQIAAGA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JwMh+MxWjiaRvlgMkiwZtfH1vnwTUBNolBSh6wksNhh&#10;5QMmRNezS8zlQatqqbROSpwEsdCOHBhyyDgXJgximfjqN09tSFPSu8+jPAU3EEN0ftqg+7WtKIV2&#10;0xJVlXR8bnkD1RGRcNANibd8qbDeFfPhmTmcCmwRJz084SE1YC44SZTswP382330R7LQSkmDU1ZS&#10;/2PPnKBEfzdI46Q/HMaxTMpw9AWhI+7Wsrm1mH29AAShjztleRKjf9BnUTqo33Ah5jErmpjhmLuk&#10;PLizsgjd9ONKcTGfJzccRcvCyqwtj8Ej7JGPl/aNOXsiLSDbj3CeSFa8467zjS8NzPcBpErERqQ7&#10;XE8E4Bgn5k4rF/fkVk9e1x/D7BcAAAD//wMAUEsDBBQABgAIAAAAIQCoCYka3wAAAAkBAAAPAAAA&#10;ZHJzL2Rvd25yZXYueG1sTI9BT4NAEIXvJv6HzZh4MXYp1kKQpTEaDjXpobXpeYERCOwssluK/97p&#10;SU/zJm/y5nvpZja9mHB0rSUFy0UAAqm0VUu1guNn/hiDcF5TpXtLqOAHHWyy25tUJ5W90B6ng68F&#10;h5BLtILG+yGR0pUNGu0WdkBi78uORntex1pWo75wuOllGARraXRL/KHRA741WHaHs1HQve/2D9vn&#10;7UccTav8e85PUdEZpe7v5tcXEB5n/3cMV3xGh4yZCnumyoleQRgyuee5WoO4+tGSRcEieIpBZqn8&#10;3yD7BQAA//8DAFBLAQItABQABgAIAAAAIQC2gziS/gAAAOEBAAATAAAAAAAAAAAAAAAAAAAAAABb&#10;Q29udGVudF9UeXBlc10ueG1sUEsBAi0AFAAGAAgAAAAhADj9If/WAAAAlAEAAAsAAAAAAAAAAAAA&#10;AAAALwEAAF9yZWxzLy5yZWxzUEsBAi0AFAAGAAgAAAAhAA3P2QE1AgAAYAQAAA4AAAAAAAAAAAAA&#10;AAAALgIAAGRycy9lMm9Eb2MueG1sUEsBAi0AFAAGAAgAAAAhAKgJiRrfAAAACQEAAA8AAAAAAAAA&#10;AAAAAAAAjwQAAGRycy9kb3ducmV2LnhtbFBLBQYAAAAABAAEAPMAAACbBQAAAAA=&#10;" fillcolor="#ed7d31 [3205]" stroked="f" strokeweight=".5pt">
                <v:textbox>
                  <w:txbxContent>
                    <w:p w14:paraId="1C7D9A2E" w14:textId="77777777" w:rsidR="00B139EF" w:rsidRPr="005D3563" w:rsidRDefault="00B139EF" w:rsidP="00B139EF">
                      <w:pPr>
                        <w:spacing w:before="0" w:after="0" w:line="240" w:lineRule="auto"/>
                        <w:jc w:val="center"/>
                        <w:rPr>
                          <w:sz w:val="24"/>
                          <w:szCs w:val="22"/>
                        </w:rPr>
                      </w:pPr>
                      <w:r w:rsidRPr="005D3563">
                        <w:rPr>
                          <w:sz w:val="24"/>
                          <w:szCs w:val="22"/>
                        </w:rPr>
                        <w:t>Internal Complaint</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7C7D77D6" wp14:editId="746B4CB8">
                <wp:simplePos x="0" y="0"/>
                <wp:positionH relativeFrom="column">
                  <wp:posOffset>4560570</wp:posOffset>
                </wp:positionH>
                <wp:positionV relativeFrom="paragraph">
                  <wp:posOffset>111760</wp:posOffset>
                </wp:positionV>
                <wp:extent cx="830580" cy="563880"/>
                <wp:effectExtent l="0" t="19050" r="45720" b="45720"/>
                <wp:wrapNone/>
                <wp:docPr id="1351489780" name="Arrow: Right 6"/>
                <wp:cNvGraphicFramePr/>
                <a:graphic xmlns:a="http://schemas.openxmlformats.org/drawingml/2006/main">
                  <a:graphicData uri="http://schemas.microsoft.com/office/word/2010/wordprocessingShape">
                    <wps:wsp>
                      <wps:cNvSpPr/>
                      <wps:spPr>
                        <a:xfrm>
                          <a:off x="0" y="0"/>
                          <a:ext cx="830580" cy="563880"/>
                        </a:xfrm>
                        <a:prstGeom prst="righ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D1E429" id="Arrow: Right 6" o:spid="_x0000_s1026" type="#_x0000_t13" style="position:absolute;margin-left:359.1pt;margin-top:8.8pt;width:65.4pt;height:44.4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YbwIAAE8FAAAOAAAAZHJzL2Uyb0RvYy54bWysVMFu2zAMvQ/YPwi6r7bTpMuCOkXQosOA&#10;oi3WDj2rshwLkEWNUuJkXz9KdpygK3YYdpFJk3wkn0hdXu1aw7YKvQZb8uIs50xZCZW265L/eL79&#10;NOfMB2ErYcCqku+V51fLjx8uO7dQE2jAVAoZgVi/6FzJmxDcIsu8bFQr/Bk4ZclYA7YikIrrrELR&#10;EXprskmeX2QdYOUQpPKe/t70Rr5M+HWtZHioa68CMyWn2kI6MZ2v8cyWl2KxRuEaLYcyxD9U0Qpt&#10;KekIdSOCYBvUf0C1WiJ4qMOZhDaDutZSpR6omyJ/081TI5xKvRA53o00+f8HK++3T+4RiYbO+YUn&#10;MXaxq7GNX6qP7RJZ+5EstQtM0s/5eT6bE6WSTLOL8znJhJIdgx368FVBy6JQctTrJqwQoUtEie2d&#10;D33AwTFm9GB0dauNSUqcAnVtkG0F3Z+QUtkwHdKceGbH2pMU9kbFeGO/q5rpiqqdpKRprN4CFr2p&#10;EZXq8xSzPD80M0ak1hJgRK6pwhF7AHiv2GIodvCPoSpN5Ric/62wnp8xImUGG8bgVlvA9wBMGDP3&#10;/lT+CTVRfIVq/4gMod8J7+Stpou6Ez48CqQloLulxQ4PdNQGupLDIHHWAP5673/0p9kkK2cdLVXJ&#10;/c+NQMWZ+WZpar8U02ncwqRMZ58npOCp5fXUYjftNdC9F/SEOJnE6B/MQawR2hfa/1XMSiZhJeUu&#10;uQx4UK5Dv+z0gki1WiU32jwnwp19cjKCR1bjCD7vXgS6YVoDjfk9HBZQLN6Ma+8bIy2sNgFqnWb5&#10;yOvAN21tGpzhhYnPwqmevI7v4PI3AAAA//8DAFBLAwQUAAYACAAAACEAGLJRqeAAAAAKAQAADwAA&#10;AGRycy9kb3ducmV2LnhtbEyPwU7DMBBE70j8g7VI3KjdEiUhxKkACQkkLpSKipsbb5OIeB3FbpP+&#10;PcsJjjvzNDtTrmfXixOOofOkYblQIJBqbztqNGw/nm9yECEasqb3hBrOGGBdXV6UprB+onc8bWIj&#10;OIRCYTS0MQ6FlKFu0Zmw8AMSewc/OhP5HBtpRzNxuOvlSqlUOtMRf2jNgE8t1t+bo9NwmD93Q3J+&#10;/Mre0tdh2qrbF9XstL6+mh/uQUSc4x8Mv/W5OlTcae+PZIPoNWTLfMUoG1kKgoE8ueNxexZUmoCs&#10;Svl/QvUDAAD//wMAUEsBAi0AFAAGAAgAAAAhALaDOJL+AAAA4QEAABMAAAAAAAAAAAAAAAAAAAAA&#10;AFtDb250ZW50X1R5cGVzXS54bWxQSwECLQAUAAYACAAAACEAOP0h/9YAAACUAQAACwAAAAAAAAAA&#10;AAAAAAAvAQAAX3JlbHMvLnJlbHNQSwECLQAUAAYACAAAACEAf7Tg2G8CAABPBQAADgAAAAAAAAAA&#10;AAAAAAAuAgAAZHJzL2Uyb0RvYy54bWxQSwECLQAUAAYACAAAACEAGLJRqeAAAAAKAQAADwAAAAAA&#10;AAAAAAAAAADJBAAAZHJzL2Rvd25yZXYueG1sUEsFBgAAAAAEAAQA8wAAANYFAAAAAA==&#10;" adj="14268" fillcolor="#ffc000 [3207]" strokecolor="#091723 [484]" strokeweight="1pt"/>
            </w:pict>
          </mc:Fallback>
        </mc:AlternateContent>
      </w:r>
      <w:r>
        <w:rPr>
          <w:noProof/>
        </w:rPr>
        <mc:AlternateContent>
          <mc:Choice Requires="wps">
            <w:drawing>
              <wp:anchor distT="0" distB="0" distL="114300" distR="114300" simplePos="0" relativeHeight="251660287" behindDoc="0" locked="0" layoutInCell="1" allowOverlap="1" wp14:anchorId="536B11F9" wp14:editId="6F42B605">
                <wp:simplePos x="0" y="0"/>
                <wp:positionH relativeFrom="margin">
                  <wp:posOffset>5179695</wp:posOffset>
                </wp:positionH>
                <wp:positionV relativeFrom="paragraph">
                  <wp:posOffset>46990</wp:posOffset>
                </wp:positionV>
                <wp:extent cx="1249680" cy="716280"/>
                <wp:effectExtent l="0" t="0" r="26670" b="26670"/>
                <wp:wrapNone/>
                <wp:docPr id="1949465360"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9DB4" id="_x0000_t109" coordsize="21600,21600" o:spt="109" path="m,l,21600r21600,l21600,xe">
                <v:stroke joinstyle="miter"/>
                <v:path gradientshapeok="t" o:connecttype="rect"/>
              </v:shapetype>
              <v:shape id="Flowchart: Process 4" o:spid="_x0000_s1026" type="#_x0000_t109" style="position:absolute;margin-left:407.85pt;margin-top:3.7pt;width:98.4pt;height:56.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0UbwIAAFYFAAAOAAAAZHJzL2Uyb0RvYy54bWysVEtv2zAMvg/YfxB0X/1A+griFEGKDgOK&#10;Nlg69KzIUi1AFjVJiZP9+lGy4wRdscOwi0ya5Mc3Z3f7VpOdcF6BqWhxkVMiDIdambeK/nh5+HJD&#10;iQ/M1EyDERU9CE/v5p8/zTo7FSU0oGvhCIIYP+1sRZsQ7DTLPG9Ey/wFWGFQKMG1LCDr3rLasQ7R&#10;W52VeX6VdeBq64AL7/HvfS+k84QvpeDhWUovAtEVxdhCel16N/HN5jM2fXPMNooPYbB/iKJlyqDT&#10;EeqeBUa2Tv0B1SruwIMMFxzaDKRUXKQcMJsif5fNumFWpFywON6OZfL/D5Y/7dZ25bAMnfVTj2TM&#10;Yi9dG78YH9mnYh3GYol9IBx/FuXk9uoGa8pRdl1clUgjTHayts6HrwJaEomKSg3dsmEurPp2pXqx&#10;3aMPvdlRPTr2oFX9oLROTBwGsdSO7Bi2kXEuTCgHZ2ea2SmFRIWDFtFem+9CElVj0GVymqbrPWDR&#10;ixpWi95PcZnnx5RGi5RgAozIEiMcsQeAj4IthmAH/Wgq0nCOxvnfAuvrM1okz2DCaNwqA+4jAB1G&#10;z70+hn9WmkhuoD6sHHHQr4a3/EFhux6ZDyvmcBeww7jf4Rmf2MGKwkBR0oD79dH/qI8jilJKOtyt&#10;ivqfW+YEJfqbweG9LSaTuIyJmVxel8i4c8nmXGK27RKw7wVeEssTGfWDPpLSQfuKZ2ARvaKIGY6+&#10;K8qDOzLL0O88HhIuFoukhgtoWXg0a8sjeKxqHMGX/StzdpjZgNP+BMc9ZNN349rrRksDi20AqdIs&#10;n+o61BuXNw3OcGjidTjnk9bpHM5/AwAA//8DAFBLAwQUAAYACAAAACEASt7dt98AAAAKAQAADwAA&#10;AGRycy9kb3ducmV2LnhtbEyPwU7DMBBE70j8g7VIXCpqJ6KkCnEq1ArOtCDE0Y23cUS8juJtG/h6&#10;3BPcZjWjmbfVavK9OOEYu0AasrkCgdQE21Gr4f3t+W4JIrIha/pAqOEbI6zq66vKlDacaYunHbci&#10;lVAsjQbHPJRSxsahN3EeBqTkHcLoDadzbKUdzTmV+17mSj1IbzpKC84MuHbYfO2OXsPkDy/rz9kH&#10;v6rZ5oebwhUbt9X69mZ6egTBOPFfGC74CR3qxLQPR7JR9BqW2aJIUQ3FPYiLr7J8AWKfVK5ykHUl&#10;/79Q/wIAAP//AwBQSwECLQAUAAYACAAAACEAtoM4kv4AAADhAQAAEwAAAAAAAAAAAAAAAAAAAAAA&#10;W0NvbnRlbnRfVHlwZXNdLnhtbFBLAQItABQABgAIAAAAIQA4/SH/1gAAAJQBAAALAAAAAAAAAAAA&#10;AAAAAC8BAABfcmVscy8ucmVsc1BLAQItABQABgAIAAAAIQD2mR0UbwIAAFYFAAAOAAAAAAAAAAAA&#10;AAAAAC4CAABkcnMvZTJvRG9jLnhtbFBLAQItABQABgAIAAAAIQBK3t233wAAAAoBAAAPAAAAAAAA&#10;AAAAAAAAAMkEAABkcnMvZG93bnJldi54bWxQSwUGAAAAAAQABADzAAAA1QUAAAAA&#10;" fillcolor="#ed7d31 [3205]" strokecolor="#091723 [484]" strokeweight="1pt">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29F6BB97" wp14:editId="7987620C">
                <wp:simplePos x="0" y="0"/>
                <wp:positionH relativeFrom="margin">
                  <wp:posOffset>3413760</wp:posOffset>
                </wp:positionH>
                <wp:positionV relativeFrom="paragraph">
                  <wp:posOffset>45085</wp:posOffset>
                </wp:positionV>
                <wp:extent cx="1249680" cy="716280"/>
                <wp:effectExtent l="0" t="0" r="26670" b="26670"/>
                <wp:wrapNone/>
                <wp:docPr id="1516281256"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48224" id="Flowchart: Process 4" o:spid="_x0000_s1026" type="#_x0000_t109" style="position:absolute;margin-left:268.8pt;margin-top:3.55pt;width:98.4pt;height:56.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0UbwIAAFYFAAAOAAAAZHJzL2Uyb0RvYy54bWysVEtv2zAMvg/YfxB0X/1A+griFEGKDgOK&#10;Nlg69KzIUi1AFjVJiZP9+lGy4wRdscOwi0ya5Mc3Z3f7VpOdcF6BqWhxkVMiDIdambeK/nh5+HJD&#10;iQ/M1EyDERU9CE/v5p8/zTo7FSU0oGvhCIIYP+1sRZsQ7DTLPG9Ey/wFWGFQKMG1LCDr3rLasQ7R&#10;W52VeX6VdeBq64AL7/HvfS+k84QvpeDhWUovAtEVxdhCel16N/HN5jM2fXPMNooPYbB/iKJlyqDT&#10;EeqeBUa2Tv0B1SruwIMMFxzaDKRUXKQcMJsif5fNumFWpFywON6OZfL/D5Y/7dZ25bAMnfVTj2TM&#10;Yi9dG78YH9mnYh3GYol9IBx/FuXk9uoGa8pRdl1clUgjTHayts6HrwJaEomKSg3dsmEurPp2pXqx&#10;3aMPvdlRPTr2oFX9oLROTBwGsdSO7Bi2kXEuTCgHZ2ea2SmFRIWDFtFem+9CElVj0GVymqbrPWDR&#10;ixpWi95PcZnnx5RGi5RgAozIEiMcsQeAj4IthmAH/Wgq0nCOxvnfAuvrM1okz2DCaNwqA+4jAB1G&#10;z70+hn9WmkhuoD6sHHHQr4a3/EFhux6ZDyvmcBeww7jf4Rmf2MGKwkBR0oD79dH/qI8jilJKOtyt&#10;ivqfW+YEJfqbweG9LSaTuIyJmVxel8i4c8nmXGK27RKw7wVeEssTGfWDPpLSQfuKZ2ARvaKIGY6+&#10;K8qDOzLL0O88HhIuFoukhgtoWXg0a8sjeKxqHMGX/StzdpjZgNP+BMc9ZNN349rrRksDi20AqdIs&#10;n+o61BuXNw3OcGjidTjnk9bpHM5/AwAA//8DAFBLAwQUAAYACAAAACEAcUuKkN8AAAAJAQAADwAA&#10;AGRycy9kb3ducmV2LnhtbEyPwU7DMBBE70j8g7VIXCrqhJaahjgVagVnWhDi6MbbOCJeR7HbBr6e&#10;5QTH1TzNvC1Xo+/ECYfYBtKQTzMQSHWwLTUa3l6fbu5BxGTImi4QavjCCKvq8qI0hQ1n2uJplxrB&#10;JRQLo8Gl1BdSxtqhN3EaeiTODmHwJvE5NNIO5szlvpO3WbaQ3rTEC870uHZYf+6OXsPoD8/rj8l7&#10;eskmm+9UK6c2bqv19dX4+AAi4Zj+YPjVZ3Wo2GkfjmSj6DTczdSCUQ0qB8G5ms3nIPYM5sslyKqU&#10;/z+ofgAAAP//AwBQSwECLQAUAAYACAAAACEAtoM4kv4AAADhAQAAEwAAAAAAAAAAAAAAAAAAAAAA&#10;W0NvbnRlbnRfVHlwZXNdLnhtbFBLAQItABQABgAIAAAAIQA4/SH/1gAAAJQBAAALAAAAAAAAAAAA&#10;AAAAAC8BAABfcmVscy8ucmVsc1BLAQItABQABgAIAAAAIQD2mR0UbwIAAFYFAAAOAAAAAAAAAAAA&#10;AAAAAC4CAABkcnMvZTJvRG9jLnhtbFBLAQItABQABgAIAAAAIQBxS4qQ3wAAAAkBAAAPAAAAAAAA&#10;AAAAAAAAAMkEAABkcnMvZG93bnJldi54bWxQSwUGAAAAAAQABADzAAAA1QUAAAAA&#10;" fillcolor="#ed7d31 [3205]" strokecolor="#091723 [484]" strokeweight="1pt">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59C97087" wp14:editId="1FEEC2C9">
                <wp:simplePos x="0" y="0"/>
                <wp:positionH relativeFrom="margin">
                  <wp:align>left</wp:align>
                </wp:positionH>
                <wp:positionV relativeFrom="paragraph">
                  <wp:posOffset>45085</wp:posOffset>
                </wp:positionV>
                <wp:extent cx="1249680" cy="716280"/>
                <wp:effectExtent l="0" t="0" r="26670" b="26670"/>
                <wp:wrapTopAndBottom/>
                <wp:docPr id="1808365774"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BA21F" id="Flowchart: Process 4" o:spid="_x0000_s1026" type="#_x0000_t109" style="position:absolute;margin-left:0;margin-top:3.55pt;width:98.4pt;height:56.4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0UbwIAAFYFAAAOAAAAZHJzL2Uyb0RvYy54bWysVEtv2zAMvg/YfxB0X/1A+griFEGKDgOK&#10;Nlg69KzIUi1AFjVJiZP9+lGy4wRdscOwi0ya5Mc3Z3f7VpOdcF6BqWhxkVMiDIdambeK/nh5+HJD&#10;iQ/M1EyDERU9CE/v5p8/zTo7FSU0oGvhCIIYP+1sRZsQ7DTLPG9Ey/wFWGFQKMG1LCDr3rLasQ7R&#10;W52VeX6VdeBq64AL7/HvfS+k84QvpeDhWUovAtEVxdhCel16N/HN5jM2fXPMNooPYbB/iKJlyqDT&#10;EeqeBUa2Tv0B1SruwIMMFxzaDKRUXKQcMJsif5fNumFWpFywON6OZfL/D5Y/7dZ25bAMnfVTj2TM&#10;Yi9dG78YH9mnYh3GYol9IBx/FuXk9uoGa8pRdl1clUgjTHayts6HrwJaEomKSg3dsmEurPp2pXqx&#10;3aMPvdlRPTr2oFX9oLROTBwGsdSO7Bi2kXEuTCgHZ2ea2SmFRIWDFtFem+9CElVj0GVymqbrPWDR&#10;ixpWi95PcZnnx5RGi5RgAozIEiMcsQeAj4IthmAH/Wgq0nCOxvnfAuvrM1okz2DCaNwqA+4jAB1G&#10;z70+hn9WmkhuoD6sHHHQr4a3/EFhux6ZDyvmcBeww7jf4Rmf2MGKwkBR0oD79dH/qI8jilJKOtyt&#10;ivqfW+YEJfqbweG9LSaTuIyJmVxel8i4c8nmXGK27RKw7wVeEssTGfWDPpLSQfuKZ2ARvaKIGY6+&#10;K8qDOzLL0O88HhIuFoukhgtoWXg0a8sjeKxqHMGX/StzdpjZgNP+BMc9ZNN349rrRksDi20AqdIs&#10;n+o61BuXNw3OcGjidTjnk9bpHM5/AwAA//8DAFBLAwQUAAYACAAAACEA9A0UGtwAAAAGAQAADwAA&#10;AGRycy9kb3ducmV2LnhtbEyPwU7DMBBE70j8g7VIXCrqhENDQpwKtYIzLQhxdJNtHBGvo3jbBr6+&#10;21O5zWpWM2/K5eR7dcQxdoEMpPMEFFIdmo5aA58frw9PoCJbamwfCA38YoRldXtT2qIJJ9rgccut&#10;khCKhTXgmIdC61g79DbOw4Ak3j6M3rKcY6ub0Z4k3Pf6MUkW2tuOpMHZAVcO65/twRuY/P5t9T37&#10;4vdktv7jOnPZ2m2Mub+bXp5BMU58fYYLvqBDJUy7cKAmqt6ADGEDWQrqYuYL2bETkeY56KrU//Gr&#10;MwAAAP//AwBQSwECLQAUAAYACAAAACEAtoM4kv4AAADhAQAAEwAAAAAAAAAAAAAAAAAAAAAAW0Nv&#10;bnRlbnRfVHlwZXNdLnhtbFBLAQItABQABgAIAAAAIQA4/SH/1gAAAJQBAAALAAAAAAAAAAAAAAAA&#10;AC8BAABfcmVscy8ucmVsc1BLAQItABQABgAIAAAAIQD2mR0UbwIAAFYFAAAOAAAAAAAAAAAAAAAA&#10;AC4CAABkcnMvZTJvRG9jLnhtbFBLAQItABQABgAIAAAAIQD0DRQa3AAAAAYBAAAPAAAAAAAAAAAA&#10;AAAAAMkEAABkcnMvZG93bnJldi54bWxQSwUGAAAAAAQABADzAAAA0gUAAAAA&#10;" fillcolor="#ed7d31 [3205]" strokecolor="#091723 [484]" strokeweight="1pt">
                <w10:wrap type="topAndBottom" anchorx="margin"/>
              </v:shape>
            </w:pict>
          </mc:Fallback>
        </mc:AlternateContent>
      </w:r>
      <w:r>
        <w:rPr>
          <w:noProof/>
        </w:rPr>
        <mc:AlternateContent>
          <mc:Choice Requires="wps">
            <w:drawing>
              <wp:anchor distT="0" distB="0" distL="114300" distR="114300" simplePos="0" relativeHeight="251765760" behindDoc="0" locked="0" layoutInCell="1" allowOverlap="1" wp14:anchorId="25B36765" wp14:editId="6E926761">
                <wp:simplePos x="0" y="0"/>
                <wp:positionH relativeFrom="margin">
                  <wp:posOffset>1729740</wp:posOffset>
                </wp:positionH>
                <wp:positionV relativeFrom="paragraph">
                  <wp:posOffset>45085</wp:posOffset>
                </wp:positionV>
                <wp:extent cx="1249680" cy="716280"/>
                <wp:effectExtent l="0" t="0" r="26670" b="26670"/>
                <wp:wrapNone/>
                <wp:docPr id="654368380"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C5850" id="Flowchart: Process 4" o:spid="_x0000_s1026" type="#_x0000_t109" style="position:absolute;margin-left:136.2pt;margin-top:3.55pt;width:98.4pt;height:56.4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0UbwIAAFYFAAAOAAAAZHJzL2Uyb0RvYy54bWysVEtv2zAMvg/YfxB0X/1A+griFEGKDgOK&#10;Nlg69KzIUi1AFjVJiZP9+lGy4wRdscOwi0ya5Mc3Z3f7VpOdcF6BqWhxkVMiDIdambeK/nh5+HJD&#10;iQ/M1EyDERU9CE/v5p8/zTo7FSU0oGvhCIIYP+1sRZsQ7DTLPG9Ey/wFWGFQKMG1LCDr3rLasQ7R&#10;W52VeX6VdeBq64AL7/HvfS+k84QvpeDhWUovAtEVxdhCel16N/HN5jM2fXPMNooPYbB/iKJlyqDT&#10;EeqeBUa2Tv0B1SruwIMMFxzaDKRUXKQcMJsif5fNumFWpFywON6OZfL/D5Y/7dZ25bAMnfVTj2TM&#10;Yi9dG78YH9mnYh3GYol9IBx/FuXk9uoGa8pRdl1clUgjTHayts6HrwJaEomKSg3dsmEurPp2pXqx&#10;3aMPvdlRPTr2oFX9oLROTBwGsdSO7Bi2kXEuTCgHZ2ea2SmFRIWDFtFem+9CElVj0GVymqbrPWDR&#10;ixpWi95PcZnnx5RGi5RgAozIEiMcsQeAj4IthmAH/Wgq0nCOxvnfAuvrM1okz2DCaNwqA+4jAB1G&#10;z70+hn9WmkhuoD6sHHHQr4a3/EFhux6ZDyvmcBeww7jf4Rmf2MGKwkBR0oD79dH/qI8jilJKOtyt&#10;ivqfW+YEJfqbweG9LSaTuIyJmVxel8i4c8nmXGK27RKw7wVeEssTGfWDPpLSQfuKZ2ARvaKIGY6+&#10;K8qDOzLL0O88HhIuFoukhgtoWXg0a8sjeKxqHMGX/StzdpjZgNP+BMc9ZNN349rrRksDi20AqdIs&#10;n+o61BuXNw3OcGjidTjnk9bpHM5/AwAA//8DAFBLAwQUAAYACAAAACEAP8AMJN8AAAAJAQAADwAA&#10;AGRycy9kb3ducmV2LnhtbEyPwU7DMBBE75X4B2uRuFTUSVQ1JMSpUCs404IQRzfexhHxOordNvD1&#10;bE9wXM3TzNtqPblenHEMnScF6SIBgdR401Gr4P3t+f4BRIiajO49oYJvDLCub2aVLo2/0A7P+9gK&#10;LqFQagU2xqGUMjQWnQ4LPyBxdvSj05HPsZVm1Bcud73MkmQlne6IF6wecGOx+dqfnILJHV82n/OP&#10;+JrMtz+xyW2+tTul7m6np0cQEaf4B8NVn9WhZqeDP5EJoleQ5dmSUQV5CoLz5arIQBwYTIsCZF3J&#10;/x/UvwAAAP//AwBQSwECLQAUAAYACAAAACEAtoM4kv4AAADhAQAAEwAAAAAAAAAAAAAAAAAAAAAA&#10;W0NvbnRlbnRfVHlwZXNdLnhtbFBLAQItABQABgAIAAAAIQA4/SH/1gAAAJQBAAALAAAAAAAAAAAA&#10;AAAAAC8BAABfcmVscy8ucmVsc1BLAQItABQABgAIAAAAIQD2mR0UbwIAAFYFAAAOAAAAAAAAAAAA&#10;AAAAAC4CAABkcnMvZTJvRG9jLnhtbFBLAQItABQABgAIAAAAIQA/wAwk3wAAAAkBAAAPAAAAAAAA&#10;AAAAAAAAAMkEAABkcnMvZG93bnJldi54bWxQSwUGAAAAAAQABADzAAAA1QUAAAAA&#10;" fillcolor="#ed7d31 [3205]" strokecolor="#091723 [484]" strokeweight="1pt">
                <w10:wrap anchorx="margin"/>
              </v:shape>
            </w:pict>
          </mc:Fallback>
        </mc:AlternateContent>
      </w:r>
    </w:p>
    <w:p w14:paraId="3750E130" w14:textId="445E0993" w:rsidR="004E729C" w:rsidRDefault="00B139EF" w:rsidP="00B139EF">
      <w:r>
        <w:t>An advantage to this option is that complainants will have flexibility to select the pathway that best suits their needs and circumstances. The pathway would “be supplementary to and not replace the direct right of action in the Supreme Court”.</w:t>
      </w:r>
      <w:r>
        <w:rPr>
          <w:rStyle w:val="FootnoteReference"/>
        </w:rPr>
        <w:footnoteReference w:id="24"/>
      </w:r>
      <w:r>
        <w:t xml:space="preserve"> This option would</w:t>
      </w:r>
      <w:r w:rsidR="008F05AE">
        <w:t>:</w:t>
      </w:r>
      <w:r>
        <w:t xml:space="preserve"> </w:t>
      </w:r>
    </w:p>
    <w:p w14:paraId="2519E7FD" w14:textId="2E250C2F" w:rsidR="00B139EF" w:rsidRDefault="00B139EF" w:rsidP="00A552A2">
      <w:pPr>
        <w:ind w:left="720"/>
      </w:pPr>
      <w:r>
        <w:t xml:space="preserve">retain the ability of the Supreme Court to address complaints under the [Human Rights Act] if the complainant wishes to continue to pursue the matter. Accordingly, the more formal and complex process of litigation in the Supreme Court would still be available for cases in which it is appropriate. </w:t>
      </w:r>
      <w:r>
        <w:rPr>
          <w:rStyle w:val="FootnoteReference"/>
        </w:rPr>
        <w:footnoteReference w:id="25"/>
      </w:r>
    </w:p>
    <w:p w14:paraId="717DA2B4" w14:textId="7DB6EE2F" w:rsidR="00CE4C13" w:rsidRDefault="004E729C" w:rsidP="00B139EF">
      <w:r>
        <w:t xml:space="preserve">For example, if, during a conciliation conference at the ACT Human Rights Commission, it </w:t>
      </w:r>
      <w:r w:rsidR="00F32981">
        <w:t xml:space="preserve">appeared that there was a fundamental disagreement about the meaning of a law within the context </w:t>
      </w:r>
      <w:r w:rsidR="00323937">
        <w:t xml:space="preserve">of human rights, the complainant could decide to withdraw the complaint and commence proceedings, without being required to </w:t>
      </w:r>
      <w:r w:rsidR="000E537A">
        <w:t xml:space="preserve">seek a referral to ACAT first and have ACAT decide the matter should be so referred to the Supreme Court. </w:t>
      </w:r>
    </w:p>
    <w:p w14:paraId="1E42DAE0" w14:textId="7385E477" w:rsidR="00B139EF" w:rsidRDefault="00B139EF" w:rsidP="00B139EF">
      <w:pPr>
        <w:pStyle w:val="Heading4"/>
      </w:pPr>
      <w:r>
        <w:t>ii. ACAT Pathway Replaces Standalone Cause of Action</w:t>
      </w:r>
    </w:p>
    <w:p w14:paraId="3E6FC3CD" w14:textId="0D67DE5E" w:rsidR="000E537A" w:rsidRDefault="000E537A" w:rsidP="000E537A">
      <w:r>
        <w:t>The second option is to remove the existing standalone cause of action and replace it with a “single, inexpensive and clear pathway…for resolving and remedying human rights complaints”.</w:t>
      </w:r>
      <w:r>
        <w:rPr>
          <w:rStyle w:val="FootnoteReference"/>
        </w:rPr>
        <w:footnoteReference w:id="26"/>
      </w:r>
      <w:r>
        <w:t xml:space="preserve"> This option would make consideration by ACAT a prerequisite to consideration by the ACT Supreme Court. </w:t>
      </w:r>
    </w:p>
    <w:p w14:paraId="1A7EA249" w14:textId="26333461" w:rsidR="00363FF8" w:rsidRDefault="008F0F2C" w:rsidP="002A3396">
      <w:pPr>
        <w:pStyle w:val="BodyText1"/>
      </w:pPr>
      <w:r>
        <w:rPr>
          <w:noProof/>
        </w:rPr>
        <w:lastRenderedPageBreak/>
        <mc:AlternateContent>
          <mc:Choice Requires="wps">
            <w:drawing>
              <wp:anchor distT="0" distB="0" distL="114300" distR="114300" simplePos="0" relativeHeight="251791360" behindDoc="0" locked="0" layoutInCell="1" allowOverlap="1" wp14:anchorId="1648F450" wp14:editId="16EC1329">
                <wp:simplePos x="0" y="0"/>
                <wp:positionH relativeFrom="column">
                  <wp:posOffset>2834640</wp:posOffset>
                </wp:positionH>
                <wp:positionV relativeFrom="page">
                  <wp:posOffset>1386205</wp:posOffset>
                </wp:positionV>
                <wp:extent cx="685800" cy="259080"/>
                <wp:effectExtent l="0" t="0" r="0" b="7620"/>
                <wp:wrapTopAndBottom/>
                <wp:docPr id="1118048300" name="Text Box 8"/>
                <wp:cNvGraphicFramePr/>
                <a:graphic xmlns:a="http://schemas.openxmlformats.org/drawingml/2006/main">
                  <a:graphicData uri="http://schemas.microsoft.com/office/word/2010/wordprocessingShape">
                    <wps:wsp>
                      <wps:cNvSpPr txBox="1"/>
                      <wps:spPr>
                        <a:xfrm>
                          <a:off x="0" y="0"/>
                          <a:ext cx="685800" cy="259080"/>
                        </a:xfrm>
                        <a:prstGeom prst="rect">
                          <a:avLst/>
                        </a:prstGeom>
                        <a:solidFill>
                          <a:schemeClr val="accent4"/>
                        </a:solidFill>
                        <a:ln w="6350">
                          <a:noFill/>
                        </a:ln>
                      </wps:spPr>
                      <wps:txbx>
                        <w:txbxContent>
                          <w:p w14:paraId="5C763E0D" w14:textId="77777777" w:rsidR="00B139EF" w:rsidRPr="00951406" w:rsidRDefault="00B139EF" w:rsidP="00B139EF">
                            <w:pPr>
                              <w:spacing w:before="0" w:after="0" w:line="240" w:lineRule="auto"/>
                            </w:pPr>
                            <w:r>
                              <w:t>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F450" id="_x0000_s1035" type="#_x0000_t202" style="position:absolute;margin-left:223.2pt;margin-top:109.15pt;width:54pt;height:20.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NMgIAAF4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Lwbj8Y5WjiaBqNJPk6wZtfH1vnwTUBNolBSh6wksNhh&#10;5QMmRNezS8zlQatqqbROSpwEsdCOHBhyyDgXJgxjmfjqN09tSIPFfB7lKbiBGKLz0wbdr21FKbSb&#10;lqiqpJNzyxuojoiEg25IvOVLhfWumA/PzOFUYIs46eEJD6kBc8FJomQH7uff7qM/koVWShqcspL6&#10;H3vmBCX6u0EaJ/3hMI5lUoajLwNU3K1lc2sx+3oBCEIfd8ryJEb/oM+idFC/4ULMY1Y0McMxd0nD&#10;WVyEbvZxobiYz5MTDqJlYWXWlsfQEfTIxkv7xpw9URaQ60c4zyMr3jHX+caXBub7AFIlWiPOHaon&#10;+HGIE2+nhYtbcqsnr+tvYfYLAAD//wMAUEsDBBQABgAIAAAAIQBx0DG44AAAAAsBAAAPAAAAZHJz&#10;L2Rvd25yZXYueG1sTI/bSsNAEIbvBd9hGcE7u0lNQhKzKSoUQbRg2wfYZKdJ6B5Cdtumb+94VS/n&#10;n4//UK1mo9kZJz84KyBeRMDQtk4NthOw362fcmA+SKukdhYFXNHDqr6/q2Sp3MX+4HkbOkYm1pdS&#10;QB/CWHLu2x6N9As3oqXfwU1GBjqnjqtJXsjcaL6MoowbOVhK6OWI7z22x+3JUEiRXzdju/78+kC9&#10;y7436m3fFEI8PsyvL8ACzuEGw199qg41dWrcySrPtIAkyRJCBSzj/BkYEWmakNKQkhYx8Lri/zfU&#10;vwAAAP//AwBQSwECLQAUAAYACAAAACEAtoM4kv4AAADhAQAAEwAAAAAAAAAAAAAAAAAAAAAAW0Nv&#10;bnRlbnRfVHlwZXNdLnhtbFBLAQItABQABgAIAAAAIQA4/SH/1gAAAJQBAAALAAAAAAAAAAAAAAAA&#10;AC8BAABfcmVscy8ucmVsc1BLAQItABQABgAIAAAAIQAzz/MNMgIAAF4EAAAOAAAAAAAAAAAAAAAA&#10;AC4CAABkcnMvZTJvRG9jLnhtbFBLAQItABQABgAIAAAAIQBx0DG44AAAAAsBAAAPAAAAAAAAAAAA&#10;AAAAAIwEAABkcnMvZG93bnJldi54bWxQSwUGAAAAAAQABADzAAAAmQUAAAAA&#10;" fillcolor="#ffc000 [3207]" stroked="f" strokeweight=".5pt">
                <v:textbox>
                  <w:txbxContent>
                    <w:p w14:paraId="5C763E0D" w14:textId="77777777" w:rsidR="00B139EF" w:rsidRPr="00951406" w:rsidRDefault="00B139EF" w:rsidP="00B139EF">
                      <w:pPr>
                        <w:spacing w:before="0" w:after="0" w:line="240" w:lineRule="auto"/>
                      </w:pPr>
                      <w:r>
                        <w:t>Referral</w:t>
                      </w:r>
                    </w:p>
                  </w:txbxContent>
                </v:textbox>
                <w10:wrap type="topAndBottom" anchory="page"/>
              </v:shape>
            </w:pict>
          </mc:Fallback>
        </mc:AlternateContent>
      </w:r>
    </w:p>
    <w:p w14:paraId="064F1251" w14:textId="196DD93A" w:rsidR="00363FF8" w:rsidRDefault="00B139EF" w:rsidP="002A3396">
      <w:pPr>
        <w:pStyle w:val="BodyText1"/>
      </w:pPr>
      <w:r>
        <w:rPr>
          <w:noProof/>
        </w:rPr>
        <mc:AlternateContent>
          <mc:Choice Requires="wps">
            <w:drawing>
              <wp:anchor distT="0" distB="0" distL="114300" distR="114300" simplePos="0" relativeHeight="251786240" behindDoc="0" locked="0" layoutInCell="1" allowOverlap="1" wp14:anchorId="0194DE57" wp14:editId="6551033A">
                <wp:simplePos x="0" y="0"/>
                <wp:positionH relativeFrom="column">
                  <wp:posOffset>986790</wp:posOffset>
                </wp:positionH>
                <wp:positionV relativeFrom="paragraph">
                  <wp:posOffset>90805</wp:posOffset>
                </wp:positionV>
                <wp:extent cx="861060" cy="563880"/>
                <wp:effectExtent l="0" t="19050" r="34290" b="45720"/>
                <wp:wrapTopAndBottom/>
                <wp:docPr id="2084064716" name="Arrow: Right 6"/>
                <wp:cNvGraphicFramePr/>
                <a:graphic xmlns:a="http://schemas.openxmlformats.org/drawingml/2006/main">
                  <a:graphicData uri="http://schemas.microsoft.com/office/word/2010/wordprocessingShape">
                    <wps:wsp>
                      <wps:cNvSpPr/>
                      <wps:spPr>
                        <a:xfrm>
                          <a:off x="0" y="0"/>
                          <a:ext cx="861060" cy="563880"/>
                        </a:xfrm>
                        <a:prstGeom prst="righ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79C1F5" id="Arrow: Right 6" o:spid="_x0000_s1026" type="#_x0000_t13" style="position:absolute;margin-left:77.7pt;margin-top:7.15pt;width:67.8pt;height:44.4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utcQIAAE8FAAAOAAAAZHJzL2Uyb0RvYy54bWysVMFu2zAMvQ/YPwi6r7azNMuCOkXQosOA&#10;oi3aDj2rshQbkEWNUuJkXz9KdpygK3YYdpFJk3wkn0hdXO5aw7YKfQO25MVZzpmyEqrGrkv+4/nm&#10;05wzH4SthAGrSr5Xnl8uP3646NxCTaAGUylkBGL9onMlr0Nwiyzzslat8GfglCWjBmxFIBXXWYWi&#10;I/TWZJM8n2UdYOUQpPKe/l73Rr5M+ForGe619iowU3KqLaQT0/kaz2x5IRZrFK5u5FCG+IcqWtFY&#10;SjpCXYsg2AabP6DaRiJ40OFMQpuB1o1UqQfqpsjfdPNUC6dSL0SOdyNN/v/Byrvtk3tAoqFzfuFJ&#10;jF3sNLbxS/WxXSJrP5KldoFJ+jmfFfmMKJVkOp99ns8Tmdkx2KEP3xS0LAolx2ZdhxUidIkosb31&#10;gdJSwMExZvRgmuqmMSYpcQrUlUG2FXR/QkplwzTeGUWdeGbH2pMU9kbFeGMflWZNRdVOUtI0Vm8B&#10;i95Ui0r1eYrzPD80M0aknAkwImuqcMQeAN4rthiKHfxjqEpTOQbnfyus73SMSJnBhjG4bSzgewAm&#10;jJl7fyr/hJoovkK1f0CG0O+Ed/KmoYu6FT48CKQloLulxQ73dGgDXclhkDirAX+99z/602ySlbOO&#10;lqrk/udGoOLMfLc0tV+L6TRuYVKm518mpOCp5fXUYjftFdC9F/SEOJnE6B/MQdQI7Qvt/ypmJZOw&#10;knKXXAY8KFehX3Z6QaRarZIbbZ4T4dY+ORnBI6txBJ93LwLdMK2BxvwODgsoFm/GtfeNkRZWmwC6&#10;SbN85HXgm7Y2Dc7wwsRn4VRPXsd3cPkbAAD//wMAUEsDBBQABgAIAAAAIQBTtJ6V4QAAAAoBAAAP&#10;AAAAZHJzL2Rvd25yZXYueG1sTI/NTsMwEITvSLyDtUhcqtZJmyIIcSoUhITEofRHnN3YxAF7ncZu&#10;k749ywluO7uj2W+K1egsO+s+tB4FpLMEmMbaqxYbAfvdy/QeWIgSlbQetYCLDrAqr68KmSs/4Eaf&#10;t7FhFIIhlwJMjF3OeaiNdjLMfKeRbp++dzKS7BuuejlQuLN8niR33MkW6YORna6Mrr+3Jyfgfb9Z&#10;Z+PwUZvq+DZ5/Tpe7POkEuL2Znx6BBb1GP/M8ItP6FAS08GfUAVmSS+XGVlpyBbAyDB/SKncgRbJ&#10;IgVeFvx/hfIHAAD//wMAUEsBAi0AFAAGAAgAAAAhALaDOJL+AAAA4QEAABMAAAAAAAAAAAAAAAAA&#10;AAAAAFtDb250ZW50X1R5cGVzXS54bWxQSwECLQAUAAYACAAAACEAOP0h/9YAAACUAQAACwAAAAAA&#10;AAAAAAAAAAAvAQAAX3JlbHMvLnJlbHNQSwECLQAUAAYACAAAACEAcb67rXECAABPBQAADgAAAAAA&#10;AAAAAAAAAAAuAgAAZHJzL2Uyb0RvYy54bWxQSwECLQAUAAYACAAAACEAU7SeleEAAAAKAQAADwAA&#10;AAAAAAAAAAAAAADLBAAAZHJzL2Rvd25yZXYueG1sUEsFBgAAAAAEAAQA8wAAANkFAAAAAA==&#10;" adj="14527" fillcolor="#ffc000 [3207]" strokecolor="#091723 [484]" strokeweight="1pt">
                <w10:wrap type="topAndBottom"/>
              </v:shape>
            </w:pict>
          </mc:Fallback>
        </mc:AlternateContent>
      </w:r>
      <w:r>
        <w:rPr>
          <w:noProof/>
        </w:rPr>
        <mc:AlternateContent>
          <mc:Choice Requires="wps">
            <w:drawing>
              <wp:anchor distT="0" distB="0" distL="114300" distR="114300" simplePos="0" relativeHeight="251787264" behindDoc="0" locked="0" layoutInCell="1" allowOverlap="1" wp14:anchorId="0E6AE0DB" wp14:editId="1B841F4F">
                <wp:simplePos x="0" y="0"/>
                <wp:positionH relativeFrom="column">
                  <wp:posOffset>2807970</wp:posOffset>
                </wp:positionH>
                <wp:positionV relativeFrom="paragraph">
                  <wp:posOffset>80010</wp:posOffset>
                </wp:positionV>
                <wp:extent cx="853440" cy="563880"/>
                <wp:effectExtent l="0" t="19050" r="41910" b="45720"/>
                <wp:wrapNone/>
                <wp:docPr id="1811699083" name="Arrow: Right 6"/>
                <wp:cNvGraphicFramePr/>
                <a:graphic xmlns:a="http://schemas.openxmlformats.org/drawingml/2006/main">
                  <a:graphicData uri="http://schemas.microsoft.com/office/word/2010/wordprocessingShape">
                    <wps:wsp>
                      <wps:cNvSpPr/>
                      <wps:spPr>
                        <a:xfrm>
                          <a:off x="0" y="0"/>
                          <a:ext cx="853440" cy="563880"/>
                        </a:xfrm>
                        <a:prstGeom prst="righ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C9A766" id="Arrow: Right 6" o:spid="_x0000_s1026" type="#_x0000_t13" style="position:absolute;margin-left:221.1pt;margin-top:6.3pt;width:67.2pt;height:44.4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iJcQIAAE8FAAAOAAAAZHJzL2Uyb0RvYy54bWysVE1v2zAMvQ/YfxB0X22nSZcFdYqgRYcB&#10;RVusHXpWZSk2IIsapcTJfv0o2XGCrthh2EWmTPLxQ4+8vNq1hm0V+gZsyYuznDNlJVSNXZf8x/Pt&#10;pzlnPghbCQNWlXyvPL9afvxw2bmFmkANplLICMT6RedKXofgFlnmZa1a4c/AKUtKDdiKQFdcZxWK&#10;jtBbk03y/CLrACuHIJX39PemV/JlwtdayfCgtVeBmZJTbiGdmM7XeGbLS7FYo3B1I4c0xD9k0YrG&#10;UtAR6kYEwTbY/AHVNhLBgw5nEtoMtG6kSjVQNUX+ppqnWjiVaqHmeDe2yf8/WHm/fXKPSG3onF94&#10;EmMVO41t/FJ+bJeatR+bpXaBSfo5n51Pp9RSSarZxfl8npqZHZ0d+vBVQcuiUHJs1nVYIUKXGiW2&#10;dz5QWHI4GMaIHkxT3TbGpEtkgbo2yLaC3k9IqWyYxjcjrxPL7Jh7ksLeqOhv7HelWVNRtpMUNNHq&#10;LWDRq2pRqT5OMcvzQzGjR4qZACOypgxH7AHgvWSLIdnBPrqqxMrROf9bYn2lo0eKDDaMzm1jAd8D&#10;MGGM3NtT+ietieIrVPtHZAj9THgnbxt6qDvhw6NAGgJ6Wxrs8ECHNtCVHAaJsxrw13v/oz1xk7Sc&#10;dTRUJfc/NwIVZ+abJdZ+KRJlQrpMZ58nFANPNa+nGrtpr4HevaAV4mQSo30wB1EjtC80/6sYlVTC&#10;SopdchnwcLkO/bDTBpFqtUpmNHlOhDv75GQEj12NFHzevQh0A1sD0fweDgMoFm/o2ttGTwurTQDd&#10;JC4f+zr0m6Y2EWfYMHEtnN6T1XEPLn8DAAD//wMAUEsDBBQABgAIAAAAIQDEyK/E3QAAAAoBAAAP&#10;AAAAZHJzL2Rvd25yZXYueG1sTI/BTsMwEETvSP0Haytxo3Yjk0YhToWQOHFAlEq9bmMTR4ntKHbS&#10;8PcsJ7jt7oxm31TH1Q1sMVPsglew3wlgxjdBd75VcP58fSiAxYRe4xC8UfBtIhzrzV2FpQ43/2GW&#10;U2oZhfhYogKb0lhyHhtrHMZdGI0n7StMDhOtU8v1hDcKdwPPhMi5w87TB4ujebGm6U+zU3A5FG/v&#10;HG1fiEacez2HpZVSqfvt+vwELJk1/ZnhF5/QoSama5i9jmxQIGWWkZWELAdGhsdDTsOVDmIvgdcV&#10;/1+h/gEAAP//AwBQSwECLQAUAAYACAAAACEAtoM4kv4AAADhAQAAEwAAAAAAAAAAAAAAAAAAAAAA&#10;W0NvbnRlbnRfVHlwZXNdLnhtbFBLAQItABQABgAIAAAAIQA4/SH/1gAAAJQBAAALAAAAAAAAAAAA&#10;AAAAAC8BAABfcmVscy8ucmVsc1BLAQItABQABgAIAAAAIQD3bQiJcQIAAE8FAAAOAAAAAAAAAAAA&#10;AAAAAC4CAABkcnMvZTJvRG9jLnhtbFBLAQItABQABgAIAAAAIQDEyK/E3QAAAAoBAAAPAAAAAAAA&#10;AAAAAAAAAMsEAABkcnMvZG93bnJldi54bWxQSwUGAAAAAAQABADzAAAA1QUAAAAA&#10;" adj="14464" fillcolor="#ffc000 [3207]" strokecolor="#091723 [484]" strokeweight="1pt"/>
            </w:pict>
          </mc:Fallback>
        </mc:AlternateContent>
      </w:r>
      <w:r>
        <w:rPr>
          <w:noProof/>
        </w:rPr>
        <mc:AlternateContent>
          <mc:Choice Requires="wps">
            <w:drawing>
              <wp:anchor distT="0" distB="0" distL="114300" distR="114300" simplePos="0" relativeHeight="251792384" behindDoc="0" locked="0" layoutInCell="1" allowOverlap="1" wp14:anchorId="086238BE" wp14:editId="6E69E267">
                <wp:simplePos x="0" y="0"/>
                <wp:positionH relativeFrom="column">
                  <wp:posOffset>4568190</wp:posOffset>
                </wp:positionH>
                <wp:positionV relativeFrom="paragraph">
                  <wp:posOffset>262255</wp:posOffset>
                </wp:positionV>
                <wp:extent cx="655320" cy="259080"/>
                <wp:effectExtent l="0" t="0" r="0" b="7620"/>
                <wp:wrapTopAndBottom/>
                <wp:docPr id="1482475745" name="Text Box 8"/>
                <wp:cNvGraphicFramePr/>
                <a:graphic xmlns:a="http://schemas.openxmlformats.org/drawingml/2006/main">
                  <a:graphicData uri="http://schemas.microsoft.com/office/word/2010/wordprocessingShape">
                    <wps:wsp>
                      <wps:cNvSpPr txBox="1"/>
                      <wps:spPr>
                        <a:xfrm>
                          <a:off x="0" y="0"/>
                          <a:ext cx="655320" cy="259080"/>
                        </a:xfrm>
                        <a:prstGeom prst="rect">
                          <a:avLst/>
                        </a:prstGeom>
                        <a:solidFill>
                          <a:schemeClr val="accent4"/>
                        </a:solidFill>
                        <a:ln w="6350">
                          <a:noFill/>
                        </a:ln>
                      </wps:spPr>
                      <wps:txbx>
                        <w:txbxContent>
                          <w:p w14:paraId="4B8C0BC6" w14:textId="77777777" w:rsidR="00B139EF" w:rsidRPr="00951406" w:rsidRDefault="00B139EF" w:rsidP="00B139EF">
                            <w:pPr>
                              <w:spacing w:before="0" w:after="0" w:line="240" w:lineRule="auto"/>
                            </w:pPr>
                            <w:r>
                              <w:t>Appeal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38BE" id="_x0000_s1036" type="#_x0000_t202" style="position:absolute;margin-left:359.7pt;margin-top:20.65pt;width:51.6pt;height:20.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dsMQIAAF8EAAAOAAAAZHJzL2Uyb0RvYy54bWysVEtv2zAMvg/YfxB0X+ykSdcacYosRYYB&#10;QVsgHXpWZCkWIIuapMTOfv0oOa91Ow27yBRJ8fF9pKcPXaPJXjivwJR0OMgpEYZDpcy2pN9fl5/u&#10;KPGBmYppMKKkB+Hpw+zjh2lrCzGCGnQlHMEgxhetLWkdgi2yzPNaNMwPwAqDRgmuYQGvbptVjrUY&#10;vdHZKM9vsxZcZR1w4T1qH3sjnaX4UgoenqX0IhBdUqwtpNOlcxPPbDZlxdYxWyt+LIP9QxUNUwaT&#10;nkM9ssDIzqk/QjWKO/Agw4BDk4GUiovUA3YzzN91s66ZFakXBMfbM0z+/4XlT/u1fXEkdF+gQwIj&#10;IK31hUdl7KeTrolfrJSgHSE8nGETXSAclbeTyc0ILRxNo8l9fpdgzS6PrfPhq4CGRKGkDllJYLH9&#10;ygdMiK4nl5jLg1bVUmmdLnESxEI7smfIIeNcmDCOZeKr3zy1IS0WczPJU3ADMUTvpw26X9qKUug2&#10;HVEVtpyqjaoNVAeEwkE/Jd7ypcKCV8yHF+ZwLLBHHPXwjIfUgMngKFFSg/v5N330R7bQSkmLY1ZS&#10;/2PHnKBEfzPI4/1wPI5zmS7jyeeIo7u2bK4tZtcsAFEY4lJZnsToH/RJlA6aN9yIecyKJmY45i5p&#10;OImL0A8/bhQX83lywkm0LKzM2vIYOqIe6Xjt3pizR84Ckv0Ep4FkxTvqet/40sB8F0CqxOsF1SP+&#10;OMWJuOPGxTW5vievy39h9gsAAP//AwBQSwMEFAAGAAgAAAAhABQEjCXfAAAACQEAAA8AAABkcnMv&#10;ZG93bnJldi54bWxMj9FKw0AQRd8F/2EZwTe7SSwxidkUFYogWrDtB2yyYxLMzobstk3/3umTfZth&#10;DveeKVezHcQRJ987UhAvIhBIjTM9tQr2u/VDBsIHTUYPjlDBGT2sqtubUhfGnegbj9vQCg4hX2gF&#10;XQhjIaVvOrTaL9yIxLcfN1kdeJ1aaSZ94nA7yCSKUml1T9zQ6RHfOmx+twfLJXl23ozN+uPzHYdd&#10;+rUxr/s6V+r+bn55BhFwDv8wXPRZHSp2qt2BjBeDgqc4XzKqYBk/gmAgS5IURH0ZYpBVKa8/qP4A&#10;AAD//wMAUEsBAi0AFAAGAAgAAAAhALaDOJL+AAAA4QEAABMAAAAAAAAAAAAAAAAAAAAAAFtDb250&#10;ZW50X1R5cGVzXS54bWxQSwECLQAUAAYACAAAACEAOP0h/9YAAACUAQAACwAAAAAAAAAAAAAAAAAv&#10;AQAAX3JlbHMvLnJlbHNQSwECLQAUAAYACAAAACEABrGXbDECAABfBAAADgAAAAAAAAAAAAAAAAAu&#10;AgAAZHJzL2Uyb0RvYy54bWxQSwECLQAUAAYACAAAACEAFASMJd8AAAAJAQAADwAAAAAAAAAAAAAA&#10;AACLBAAAZHJzL2Rvd25yZXYueG1sUEsFBgAAAAAEAAQA8wAAAJcFAAAAAA==&#10;" fillcolor="#ffc000 [3207]" stroked="f" strokeweight=".5pt">
                <v:textbox>
                  <w:txbxContent>
                    <w:p w14:paraId="4B8C0BC6" w14:textId="77777777" w:rsidR="00B139EF" w:rsidRPr="00951406" w:rsidRDefault="00B139EF" w:rsidP="00B139EF">
                      <w:pPr>
                        <w:spacing w:before="0" w:after="0" w:line="240" w:lineRule="auto"/>
                      </w:pPr>
                      <w:r>
                        <w:t>Appeal</w:t>
                      </w:r>
                    </w:p>
                  </w:txbxContent>
                </v:textbox>
                <w10:wrap type="topAndBottom"/>
              </v:shape>
            </w:pict>
          </mc:Fallback>
        </mc:AlternateContent>
      </w:r>
      <w:r>
        <w:rPr>
          <w:noProof/>
        </w:rPr>
        <mc:AlternateContent>
          <mc:Choice Requires="wps">
            <w:drawing>
              <wp:anchor distT="0" distB="0" distL="114300" distR="114300" simplePos="0" relativeHeight="251790336" behindDoc="0" locked="0" layoutInCell="1" allowOverlap="1" wp14:anchorId="775205D0" wp14:editId="20B5FF3D">
                <wp:simplePos x="0" y="0"/>
                <wp:positionH relativeFrom="column">
                  <wp:posOffset>1009650</wp:posOffset>
                </wp:positionH>
                <wp:positionV relativeFrom="paragraph">
                  <wp:posOffset>243840</wp:posOffset>
                </wp:positionV>
                <wp:extent cx="647700" cy="251460"/>
                <wp:effectExtent l="0" t="0" r="0" b="0"/>
                <wp:wrapNone/>
                <wp:docPr id="570054405" name="Text Box 8"/>
                <wp:cNvGraphicFramePr/>
                <a:graphic xmlns:a="http://schemas.openxmlformats.org/drawingml/2006/main">
                  <a:graphicData uri="http://schemas.microsoft.com/office/word/2010/wordprocessingShape">
                    <wps:wsp>
                      <wps:cNvSpPr txBox="1"/>
                      <wps:spPr>
                        <a:xfrm>
                          <a:off x="0" y="0"/>
                          <a:ext cx="647700" cy="251460"/>
                        </a:xfrm>
                        <a:prstGeom prst="rect">
                          <a:avLst/>
                        </a:prstGeom>
                        <a:solidFill>
                          <a:schemeClr val="accent4"/>
                        </a:solidFill>
                        <a:ln w="6350">
                          <a:noFill/>
                        </a:ln>
                      </wps:spPr>
                      <wps:txbx>
                        <w:txbxContent>
                          <w:p w14:paraId="32EA1130" w14:textId="77777777" w:rsidR="00B139EF" w:rsidRPr="00951406" w:rsidRDefault="00B139EF" w:rsidP="00B139EF">
                            <w:pPr>
                              <w:spacing w:before="0" w:after="0" w:line="240" w:lineRule="auto"/>
                            </w:pPr>
                            <w:r w:rsidRPr="00951406">
                              <w:t>45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05D0" id="_x0000_s1037" type="#_x0000_t202" style="position:absolute;margin-left:79.5pt;margin-top:19.2pt;width:51pt;height:19.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sIMgIAAF8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6fju7scLRxNo8lwPE2wZtfH1vnwVUBDolBSh6wksNhh&#10;7QMmRNezS8zlQatqpbROSpwEsdSOHBhyyDgXJoxjmfjqN09tSIvFfJzkKbiBGKL30wbdr21FKXTb&#10;jqgKW770vIXqiFA46KfEW75SWPCa+fDMHI4F9oijHp7wkBowGZwkSmpwP/92H/2RLbRS0uKYldT/&#10;2DMnKNHfDPL4eTgex7lMynhyN0LF3Vq2txazb5aAKAxxqSxPYvQP+ixKB80rbsQiZkUTMxxzlzSc&#10;xWXohx83iovFIjnhJFoW1mZjeQwdUY90vHSvzNkTZwHJfoTzQLLiDXW9b3xpYLEPIFXiNQLdo3rC&#10;H6c4EXfauLgmt3ryuv4X5r8AAAD//wMAUEsDBBQABgAIAAAAIQDCmx523wAAAAkBAAAPAAAAZHJz&#10;L2Rvd25yZXYueG1sTI/BTsMwEETvSPyDtUjcqNMCIQlxKkCqkCqoRNsPcOIlibDXUey26d+zPcFx&#10;dkczb8rl5Kw44hh6TwrmswQEUuNNT62C/W51l4EIUZPR1hMqOGOAZXV9VerC+BN94XEbW8EhFAqt&#10;oItxKKQMTYdOh5kfkPj37UenI8uxlWbUJw53Vi6SJJVO98QNnR7wrcPmZ3twXJJn583QrNYf72h3&#10;6efGvO7rXKnbm+nlGUTEKf6Z4YLP6FAxU+0PZIKwrB9z3hIV3GcPINiwSOd8qBU8ZQnIqpT/F1S/&#10;AAAA//8DAFBLAQItABQABgAIAAAAIQC2gziS/gAAAOEBAAATAAAAAAAAAAAAAAAAAAAAAABbQ29u&#10;dGVudF9UeXBlc10ueG1sUEsBAi0AFAAGAAgAAAAhADj9If/WAAAAlAEAAAsAAAAAAAAAAAAAAAAA&#10;LwEAAF9yZWxzLy5yZWxzUEsBAi0AFAAGAAgAAAAhABQBiwgyAgAAXwQAAA4AAAAAAAAAAAAAAAAA&#10;LgIAAGRycy9lMm9Eb2MueG1sUEsBAi0AFAAGAAgAAAAhAMKbHnbfAAAACQEAAA8AAAAAAAAAAAAA&#10;AAAAjAQAAGRycy9kb3ducmV2LnhtbFBLBQYAAAAABAAEAPMAAACYBQAAAAA=&#10;" fillcolor="#ffc000 [3207]" stroked="f" strokeweight=".5pt">
                <v:textbox>
                  <w:txbxContent>
                    <w:p w14:paraId="32EA1130" w14:textId="77777777" w:rsidR="00B139EF" w:rsidRPr="00951406" w:rsidRDefault="00B139EF" w:rsidP="00B139EF">
                      <w:pPr>
                        <w:spacing w:before="0" w:after="0" w:line="240" w:lineRule="auto"/>
                      </w:pPr>
                      <w:r w:rsidRPr="00951406">
                        <w:t>45 Days</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010D989D" wp14:editId="01A45D29">
                <wp:simplePos x="0" y="0"/>
                <wp:positionH relativeFrom="column">
                  <wp:posOffset>5276850</wp:posOffset>
                </wp:positionH>
                <wp:positionV relativeFrom="paragraph">
                  <wp:posOffset>121920</wp:posOffset>
                </wp:positionV>
                <wp:extent cx="982980" cy="502920"/>
                <wp:effectExtent l="0" t="0" r="7620" b="0"/>
                <wp:wrapNone/>
                <wp:docPr id="1534878332" name="Text Box 7"/>
                <wp:cNvGraphicFramePr/>
                <a:graphic xmlns:a="http://schemas.openxmlformats.org/drawingml/2006/main">
                  <a:graphicData uri="http://schemas.microsoft.com/office/word/2010/wordprocessingShape">
                    <wps:wsp>
                      <wps:cNvSpPr txBox="1"/>
                      <wps:spPr>
                        <a:xfrm>
                          <a:off x="0" y="0"/>
                          <a:ext cx="982980" cy="502920"/>
                        </a:xfrm>
                        <a:prstGeom prst="rect">
                          <a:avLst/>
                        </a:prstGeom>
                        <a:solidFill>
                          <a:schemeClr val="accent1"/>
                        </a:solidFill>
                        <a:ln w="6350">
                          <a:noFill/>
                        </a:ln>
                      </wps:spPr>
                      <wps:txbx>
                        <w:txbxContent>
                          <w:p w14:paraId="61EE521E" w14:textId="77777777" w:rsidR="00B139EF" w:rsidRPr="005D3563" w:rsidRDefault="00B139EF" w:rsidP="00B139EF">
                            <w:pPr>
                              <w:spacing w:before="0" w:after="0" w:line="240" w:lineRule="auto"/>
                              <w:jc w:val="center"/>
                              <w:rPr>
                                <w:sz w:val="24"/>
                                <w:szCs w:val="22"/>
                              </w:rPr>
                            </w:pPr>
                            <w:r>
                              <w:rPr>
                                <w:sz w:val="24"/>
                                <w:szCs w:val="22"/>
                              </w:rPr>
                              <w:t>Supreme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0D989D" id="_x0000_s1038" type="#_x0000_t202" style="position:absolute;margin-left:415.5pt;margin-top:9.6pt;width:77.4pt;height:39.6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NkNQIAAGEEAAAOAAAAZHJzL2Uyb0RvYy54bWysVEtv2zAMvg/YfxB0X+x4SZcYcYosRYYB&#10;QVsgLXpWZCk2IIuapMTOfv0oOa91Ow27yKRI8fF9pGf3XaPIQVhXgy7ocJBSIjSHsta7gr6+rD5N&#10;KHGe6ZIp0KKgR+Ho/fzjh1lrcpFBBaoUlmAQ7fLWFLTy3uRJ4nglGuYGYIRGowTbMI+q3SWlZS1G&#10;b1SSpeld0oItjQUunMPbh95I5zG+lIL7Jymd8EQVFGvz8bTx3IYzmc9YvrPMVDU/lcH+oYqG1RqT&#10;XkI9MM/I3tZ/hGpqbsGB9AMOTQJS1lzEHrCbYfqum03FjIi9IDjOXGBy/y8sfzxszLMlvvsKHRIY&#10;AGmNyx1ehn46aZvwxUoJ2hHC4wU20XnC8XI6yaYTtHA0jdNsmkVYk+tjY53/JqAhQSioRVYiWOyw&#10;dh4TouvZJeRyoOpyVSsVlTAJYqksOTDkkHEutI9l4qvfPJUmbUHvPo/TGFxDCNFHVxqTXNsKku+2&#10;HalLbDk797yF8ohQWOinxBm+qrHgNXP+mVkcC+wRR90/4SEVYDI4SZRUYH/+7T74I1topaTFMSuo&#10;+7FnVlCivmvkcTocjcJcRmU0/oLYEXtr2d5a9L5ZAqIwxKUyPIrB36uzKC00b7gRi5AVTUxzzF1Q&#10;7u1ZWfp+/HGnuFgsohvOomF+rTeGh+AB90DIS/fGrDmx5pHuRziPJMvfkdf7hpcaFnsPso7MBqh7&#10;XE8M4BxHwk87FxblVo9e1z/D/BcAAAD//wMAUEsDBBQABgAIAAAAIQDIUr1H4AAAAAkBAAAPAAAA&#10;ZHJzL2Rvd25yZXYueG1sTI/NTsNADITvSLzDykjc6KalRGnIpuJHICRUof48gJuYJDTrDdlNG94e&#10;9wQ3j2Y0ni9bjrZVR+p949jAdBKBIi5c2XBlYLd9uUlA+YBcYuuYDPyQh2V+eZFhWroTr+m4CZWS&#10;EvYpGqhD6FKtfVGTRT9xHbF4n663GET2lS57PEm5bfUsimJtsWH5UGNHTzUVh81gDbw/H5oP+7XC&#10;73i9epsP8WvyGKwx11fjwz2oQGP4C8N5vkyHXDbt3cClV62B5HYqLEGMxQyUBBbJnbDsz8ccdJ7p&#10;/wT5LwAAAP//AwBQSwECLQAUAAYACAAAACEAtoM4kv4AAADhAQAAEwAAAAAAAAAAAAAAAAAAAAAA&#10;W0NvbnRlbnRfVHlwZXNdLnhtbFBLAQItABQABgAIAAAAIQA4/SH/1gAAAJQBAAALAAAAAAAAAAAA&#10;AAAAAC8BAABfcmVscy8ucmVsc1BLAQItABQABgAIAAAAIQBT8SNkNQIAAGEEAAAOAAAAAAAAAAAA&#10;AAAAAC4CAABkcnMvZTJvRG9jLnhtbFBLAQItABQABgAIAAAAIQDIUr1H4AAAAAkBAAAPAAAAAAAA&#10;AAAAAAAAAI8EAABkcnMvZG93bnJldi54bWxQSwUGAAAAAAQABADzAAAAnAUAAAAA&#10;" fillcolor="#5b9bd5 [3204]" stroked="f" strokeweight=".5pt">
                <v:textbox>
                  <w:txbxContent>
                    <w:p w14:paraId="61EE521E" w14:textId="77777777" w:rsidR="00B139EF" w:rsidRPr="005D3563" w:rsidRDefault="00B139EF" w:rsidP="00B139EF">
                      <w:pPr>
                        <w:spacing w:before="0" w:after="0" w:line="240" w:lineRule="auto"/>
                        <w:jc w:val="center"/>
                        <w:rPr>
                          <w:sz w:val="24"/>
                          <w:szCs w:val="22"/>
                        </w:rPr>
                      </w:pPr>
                      <w:r>
                        <w:rPr>
                          <w:sz w:val="24"/>
                          <w:szCs w:val="22"/>
                        </w:rPr>
                        <w:t>Supreme Court</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1996A220" wp14:editId="42D65564">
                <wp:simplePos x="0" y="0"/>
                <wp:positionH relativeFrom="column">
                  <wp:posOffset>133350</wp:posOffset>
                </wp:positionH>
                <wp:positionV relativeFrom="paragraph">
                  <wp:posOffset>114300</wp:posOffset>
                </wp:positionV>
                <wp:extent cx="944880" cy="502920"/>
                <wp:effectExtent l="0" t="0" r="7620" b="0"/>
                <wp:wrapNone/>
                <wp:docPr id="2040299721" name="Text Box 7"/>
                <wp:cNvGraphicFramePr/>
                <a:graphic xmlns:a="http://schemas.openxmlformats.org/drawingml/2006/main">
                  <a:graphicData uri="http://schemas.microsoft.com/office/word/2010/wordprocessingShape">
                    <wps:wsp>
                      <wps:cNvSpPr txBox="1"/>
                      <wps:spPr>
                        <a:xfrm>
                          <a:off x="0" y="0"/>
                          <a:ext cx="944880" cy="502920"/>
                        </a:xfrm>
                        <a:prstGeom prst="rect">
                          <a:avLst/>
                        </a:prstGeom>
                        <a:solidFill>
                          <a:schemeClr val="accent1"/>
                        </a:solidFill>
                        <a:ln w="6350">
                          <a:noFill/>
                        </a:ln>
                      </wps:spPr>
                      <wps:txbx>
                        <w:txbxContent>
                          <w:p w14:paraId="0D1985B1" w14:textId="77777777" w:rsidR="00B139EF" w:rsidRPr="005D3563" w:rsidRDefault="00B139EF" w:rsidP="00B139EF">
                            <w:pPr>
                              <w:spacing w:before="0" w:after="0" w:line="240" w:lineRule="auto"/>
                              <w:jc w:val="center"/>
                              <w:rPr>
                                <w:sz w:val="24"/>
                                <w:szCs w:val="22"/>
                              </w:rPr>
                            </w:pPr>
                            <w:r w:rsidRPr="005D3563">
                              <w:rPr>
                                <w:sz w:val="24"/>
                                <w:szCs w:val="22"/>
                              </w:rPr>
                              <w:t>Internal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96A220" id="_x0000_s1039" type="#_x0000_t202" style="position:absolute;margin-left:10.5pt;margin-top:9pt;width:74.4pt;height:39.6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s6NAIAAGEEAAAOAAAAZHJzL2Uyb0RvYy54bWysVEuP2jAQvlfqf7B8LwksbAERVpQVVSW0&#10;uxJb7dk4NrHkeFzbkNBf37HDq9ueql6cGc94Ht83k9lDW2tyEM4rMAXt93JKhOFQKrMr6PfX1acx&#10;JT4wUzINRhT0KDx9mH/8MGvsVAygAl0KRzCI8dPGFrQKwU6zzPNK1Mz3wAqDRgmuZgFVt8tKxxqM&#10;XutskOf3WQOutA648B5vHzsjnaf4UgoenqX0IhBdUKwtpNOlcxvPbD5j051jtlL8VAb7hypqpgwm&#10;vYR6ZIGRvVN/hKoVd+BBhh6HOgMpFRepB+ymn7/rZlMxK1IvCI63F5j8/wvLnw4b++JIaL9AiwRG&#10;QBrrpx4vYz+tdHX8YqUE7Qjh8QKbaAPheDkZDsdjtHA0jfLBZJBgza6PrfPhq4CaRKGgDllJYLHD&#10;2gdMiK5nl5jLg1blSmmdlDgJYqkdOTDkkHEuTEhl4qvfPLUhTUHv70Z5Cm4ghuiia4NJrm1FKbTb&#10;lqgSW74797yF8ohQOOimxFu+UljwmvnwwhyOBfaIox6e8ZAaMBmcJEoqcD//dh/9kS20UtLgmBXU&#10;/9gzJyjR3wzyOOkPh3EukzIcfUbsiLu1bG8tZl8vAVHo41JZnsToH/RZlA7qN9yIRcyKJmY45i4o&#10;D+6sLEM3/rhTXCwWyQ1n0bKwNhvLY/CIeyTktX1jzp5YC0j3E5xHkk3fkdf5xpcGFvsAUiVmI9Qd&#10;ricGcI4T4aedi4tyqyev659h/gsAAP//AwBQSwMEFAAGAAgAAAAhAP2Su+7fAAAACAEAAA8AAABk&#10;cnMvZG93bnJldi54bWxMj81Ow0AMhO9IvMPKSNzophEKaZpNxY9ASKhCLX0ANzFJaNYbsps2vD3u&#10;CU6WPaPxN/lqsp060uBbxwbmswgUcemqlmsDu4/nmxSUD8gVdo7JwA95WBWXFzlmlTvxho7bUCsJ&#10;YZ+hgSaEPtPalw1Z9DPXE4v26QaLQdah1tWAJwm3nY6jKNEWW5YPDfb02FB52I7WwNvToX23X2v8&#10;Tjbr19sxeUkfgjXm+mq6X4IKNIU/M5zxBR0KYdq7kSuvOgPxXKoEuacyz3qykCp7A4u7GHSR6/8F&#10;il8AAAD//wMAUEsBAi0AFAAGAAgAAAAhALaDOJL+AAAA4QEAABMAAAAAAAAAAAAAAAAAAAAAAFtD&#10;b250ZW50X1R5cGVzXS54bWxQSwECLQAUAAYACAAAACEAOP0h/9YAAACUAQAACwAAAAAAAAAAAAAA&#10;AAAvAQAAX3JlbHMvLnJlbHNQSwECLQAUAAYACAAAACEAFVLLOjQCAABhBAAADgAAAAAAAAAAAAAA&#10;AAAuAgAAZHJzL2Uyb0RvYy54bWxQSwECLQAUAAYACAAAACEA/ZK77t8AAAAIAQAADwAAAAAAAAAA&#10;AAAAAACOBAAAZHJzL2Rvd25yZXYueG1sUEsFBgAAAAAEAAQA8wAAAJoFAAAAAA==&#10;" fillcolor="#5b9bd5 [3204]" stroked="f" strokeweight=".5pt">
                <v:textbox>
                  <w:txbxContent>
                    <w:p w14:paraId="0D1985B1" w14:textId="77777777" w:rsidR="00B139EF" w:rsidRPr="005D3563" w:rsidRDefault="00B139EF" w:rsidP="00B139EF">
                      <w:pPr>
                        <w:spacing w:before="0" w:after="0" w:line="240" w:lineRule="auto"/>
                        <w:jc w:val="center"/>
                        <w:rPr>
                          <w:sz w:val="24"/>
                          <w:szCs w:val="22"/>
                        </w:rPr>
                      </w:pPr>
                      <w:r w:rsidRPr="005D3563">
                        <w:rPr>
                          <w:sz w:val="24"/>
                          <w:szCs w:val="22"/>
                        </w:rPr>
                        <w:t>Internal Complaint</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3396AB84" wp14:editId="7B415D16">
                <wp:simplePos x="0" y="0"/>
                <wp:positionH relativeFrom="column">
                  <wp:posOffset>1840230</wp:posOffset>
                </wp:positionH>
                <wp:positionV relativeFrom="paragraph">
                  <wp:posOffset>125095</wp:posOffset>
                </wp:positionV>
                <wp:extent cx="982980" cy="502920"/>
                <wp:effectExtent l="0" t="0" r="7620" b="0"/>
                <wp:wrapTopAndBottom/>
                <wp:docPr id="282839224" name="Text Box 7"/>
                <wp:cNvGraphicFramePr/>
                <a:graphic xmlns:a="http://schemas.openxmlformats.org/drawingml/2006/main">
                  <a:graphicData uri="http://schemas.microsoft.com/office/word/2010/wordprocessingShape">
                    <wps:wsp>
                      <wps:cNvSpPr txBox="1"/>
                      <wps:spPr>
                        <a:xfrm>
                          <a:off x="0" y="0"/>
                          <a:ext cx="982980" cy="502920"/>
                        </a:xfrm>
                        <a:prstGeom prst="rect">
                          <a:avLst/>
                        </a:prstGeom>
                        <a:solidFill>
                          <a:schemeClr val="accent1"/>
                        </a:solidFill>
                        <a:ln w="6350">
                          <a:noFill/>
                        </a:ln>
                      </wps:spPr>
                      <wps:txbx>
                        <w:txbxContent>
                          <w:p w14:paraId="25BECA1B" w14:textId="77777777" w:rsidR="00B139EF" w:rsidRPr="005D3563" w:rsidRDefault="00B139EF" w:rsidP="00B139EF">
                            <w:pPr>
                              <w:spacing w:before="0" w:after="0" w:line="240" w:lineRule="auto"/>
                              <w:rPr>
                                <w:sz w:val="24"/>
                                <w:szCs w:val="22"/>
                              </w:rPr>
                            </w:pPr>
                            <w:r w:rsidRPr="005D3563">
                              <w:rPr>
                                <w:sz w:val="24"/>
                                <w:szCs w:val="22"/>
                              </w:rPr>
                              <w:t>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96AB84" id="_x0000_s1040" type="#_x0000_t202" style="position:absolute;margin-left:144.9pt;margin-top:9.85pt;width:77.4pt;height:39.6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D+NAIAAGE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JyMB5MxWjiaRvlgMkiwZtfH1vnwTUBNolBSh6wksNhh&#10;5QMmRNezS8zlQatqqbROSpwEsdCOHBhyyDgXJqQy8dVvntqQpqR3n0d5Cm4ghuiia4NJrm1FKbSb&#10;lqgKWx6ee95AdUQoHHRT4i1fKix4xXx4Zg7HAnvEUQ9PeEgNmAxOEiU7cD//dh/9kS20UtLgmJXU&#10;/9gzJyjR3w3yOOkPh3EukzIcfUHsiLu1bG4tZl8vAFHo41JZnsToH/RZlA7qN9yIecyKJmY45i4p&#10;D+6sLEI3/rhTXMznyQ1n0bKwMmvLY/CIeyTkpX1jzp5YC0j3I5xHkhXvyOt840sD830AqRKzEeoO&#10;1xMDOMeJ8NPOxUW51ZPX9c8w+wUAAP//AwBQSwMEFAAGAAgAAAAhAMZHBd/fAAAACQEAAA8AAABk&#10;cnMvZG93bnJldi54bWxMj91Og0AUhO9NfIfNMfHOLjYEAVkaf6IxMY1p9QFO4QhY9iyyS4tv7+mV&#10;Xk5mMvNNsZptrw40+s6xgetFBIq4cnXHjYGP96erFJQPyDX2jsnAD3lYlednBea1O/KGDtvQKClh&#10;n6OBNoQh19pXLVn0CzcQi/fpRotB5NjoesSjlNteL6Mo0RY7loUWB3poqdpvJ2vg9XHfvdmvNX4n&#10;m/VLPCXP6X2wxlxezHe3oALN4S8MJ3xBh1KYdm7i2qvewDLNBD2Ikd2AkkAcxwmonYEszUCXhf7/&#10;oPwFAAD//wMAUEsBAi0AFAAGAAgAAAAhALaDOJL+AAAA4QEAABMAAAAAAAAAAAAAAAAAAAAAAFtD&#10;b250ZW50X1R5cGVzXS54bWxQSwECLQAUAAYACAAAACEAOP0h/9YAAACUAQAACwAAAAAAAAAAAAAA&#10;AAAvAQAAX3JlbHMvLnJlbHNQSwECLQAUAAYACAAAACEAJbNw/jQCAABhBAAADgAAAAAAAAAAAAAA&#10;AAAuAgAAZHJzL2Uyb0RvYy54bWxQSwECLQAUAAYACAAAACEAxkcF398AAAAJAQAADwAAAAAAAAAA&#10;AAAAAACOBAAAZHJzL2Rvd25yZXYueG1sUEsFBgAAAAAEAAQA8wAAAJoFAAAAAA==&#10;" fillcolor="#5b9bd5 [3204]" stroked="f" strokeweight=".5pt">
                <v:textbox>
                  <w:txbxContent>
                    <w:p w14:paraId="25BECA1B" w14:textId="77777777" w:rsidR="00B139EF" w:rsidRPr="005D3563" w:rsidRDefault="00B139EF" w:rsidP="00B139EF">
                      <w:pPr>
                        <w:spacing w:before="0" w:after="0" w:line="240" w:lineRule="auto"/>
                        <w:rPr>
                          <w:sz w:val="24"/>
                          <w:szCs w:val="22"/>
                        </w:rPr>
                      </w:pPr>
                      <w:r w:rsidRPr="005D3563">
                        <w:rPr>
                          <w:sz w:val="24"/>
                          <w:szCs w:val="22"/>
                        </w:rPr>
                        <w:t>Commission</w:t>
                      </w:r>
                    </w:p>
                  </w:txbxContent>
                </v:textbox>
                <w10:wrap type="topAndBottom"/>
              </v:shape>
            </w:pict>
          </mc:Fallback>
        </mc:AlternateContent>
      </w:r>
      <w:r>
        <w:rPr>
          <w:noProof/>
        </w:rPr>
        <mc:AlternateContent>
          <mc:Choice Requires="wps">
            <w:drawing>
              <wp:anchor distT="0" distB="0" distL="114300" distR="114300" simplePos="0" relativeHeight="251785216" behindDoc="0" locked="0" layoutInCell="1" allowOverlap="1" wp14:anchorId="20B35AB4" wp14:editId="347CB696">
                <wp:simplePos x="0" y="0"/>
                <wp:positionH relativeFrom="column">
                  <wp:posOffset>3554730</wp:posOffset>
                </wp:positionH>
                <wp:positionV relativeFrom="paragraph">
                  <wp:posOffset>117475</wp:posOffset>
                </wp:positionV>
                <wp:extent cx="982980" cy="502920"/>
                <wp:effectExtent l="0" t="0" r="7620" b="0"/>
                <wp:wrapTopAndBottom/>
                <wp:docPr id="729208339" name="Text Box 7"/>
                <wp:cNvGraphicFramePr/>
                <a:graphic xmlns:a="http://schemas.openxmlformats.org/drawingml/2006/main">
                  <a:graphicData uri="http://schemas.microsoft.com/office/word/2010/wordprocessingShape">
                    <wps:wsp>
                      <wps:cNvSpPr txBox="1"/>
                      <wps:spPr>
                        <a:xfrm>
                          <a:off x="0" y="0"/>
                          <a:ext cx="982980" cy="502920"/>
                        </a:xfrm>
                        <a:prstGeom prst="rect">
                          <a:avLst/>
                        </a:prstGeom>
                        <a:solidFill>
                          <a:schemeClr val="accent1"/>
                        </a:solidFill>
                        <a:ln w="6350">
                          <a:noFill/>
                        </a:ln>
                      </wps:spPr>
                      <wps:txbx>
                        <w:txbxContent>
                          <w:p w14:paraId="22E86300" w14:textId="77777777" w:rsidR="00B139EF" w:rsidRPr="005D3563" w:rsidRDefault="00B139EF" w:rsidP="00B139EF">
                            <w:pPr>
                              <w:spacing w:before="0" w:after="0" w:line="240" w:lineRule="auto"/>
                              <w:jc w:val="center"/>
                              <w:rPr>
                                <w:sz w:val="24"/>
                                <w:szCs w:val="22"/>
                              </w:rPr>
                            </w:pPr>
                            <w:r>
                              <w:rPr>
                                <w:sz w:val="24"/>
                                <w:szCs w:val="22"/>
                              </w:rPr>
                              <w:t>ACAT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B35AB4" id="_x0000_s1041" type="#_x0000_t202" style="position:absolute;margin-left:279.9pt;margin-top:9.25pt;width:77.4pt;height:39.6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hzNAIAAGE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JyMB5MxWjiaRvlgMkiwZtfH1vnwTUBNolBSh6wksNhh&#10;5QMmRNezS8zlQatqqbROSpwEsdCOHBhyyDgXJqQy8dVvntqQpqR3n0d5Cm4ghuiia4NJrm1FKbSb&#10;lqgKWx6de95AdUQoHHRT4i1fKix4xXx4Zg7HAnvEUQ9PeEgNmAxOEiU7cD//dh/9kS20UtLgmJXU&#10;/9gzJyjR3w3yOOkPh3EukzIcfUHsiLu1bG4tZl8vAFHo41JZnsToH/RZlA7qN9yIecyKJmY45i4p&#10;D+6sLEI3/rhTXMznyQ1n0bKwMmvLY/CIeyTkpX1jzp5YC0j3I5xHkhXvyOt840sD830AqRKzEeoO&#10;1xMDOMeJ8NPOxUW51ZPX9c8w+wUAAP//AwBQSwMEFAAGAAgAAAAhABYSYeDgAAAACQEAAA8AAABk&#10;cnMvZG93bnJldi54bWxMj81OwzAQhO9IvIO1SNyoU9T8NI1T8SMQEqpQSx9gGy9JaGyH2GnD27Oc&#10;4Dia0cw3xXoynTjR4FtnFcxnEQiyldOtrRXs359uMhA+oNXYOUsKvsnDury8KDDX7my3dNqFWnCJ&#10;9TkqaELocyl91ZBBP3M9WfY+3GAwsBxqqQc8c7np5G0UJdJga3mhwZ4eGqqOu9EoeH08tm/mc4Nf&#10;yXbzshiT5+w+GKWur6a7FYhAU/gLwy8+o0PJTAc3Wu1FpyCOl4we2MhiEBxI54sExEHBMk1BloX8&#10;/6D8AQAA//8DAFBLAQItABQABgAIAAAAIQC2gziS/gAAAOEBAAATAAAAAAAAAAAAAAAAAAAAAABb&#10;Q29udGVudF9UeXBlc10ueG1sUEsBAi0AFAAGAAgAAAAhADj9If/WAAAAlAEAAAsAAAAAAAAAAAAA&#10;AAAALwEAAF9yZWxzLy5yZWxzUEsBAi0AFAAGAAgAAAAhAPPRuHM0AgAAYQQAAA4AAAAAAAAAAAAA&#10;AAAALgIAAGRycy9lMm9Eb2MueG1sUEsBAi0AFAAGAAgAAAAhABYSYeDgAAAACQEAAA8AAAAAAAAA&#10;AAAAAAAAjgQAAGRycy9kb3ducmV2LnhtbFBLBQYAAAAABAAEAPMAAACbBQAAAAA=&#10;" fillcolor="#5b9bd5 [3204]" stroked="f" strokeweight=".5pt">
                <v:textbox>
                  <w:txbxContent>
                    <w:p w14:paraId="22E86300" w14:textId="77777777" w:rsidR="00B139EF" w:rsidRPr="005D3563" w:rsidRDefault="00B139EF" w:rsidP="00B139EF">
                      <w:pPr>
                        <w:spacing w:before="0" w:after="0" w:line="240" w:lineRule="auto"/>
                        <w:jc w:val="center"/>
                        <w:rPr>
                          <w:sz w:val="24"/>
                          <w:szCs w:val="22"/>
                        </w:rPr>
                      </w:pPr>
                      <w:r>
                        <w:rPr>
                          <w:sz w:val="24"/>
                          <w:szCs w:val="22"/>
                        </w:rPr>
                        <w:t>ACAT</w:t>
                      </w:r>
                    </w:p>
                  </w:txbxContent>
                </v:textbox>
                <w10:wrap type="topAndBottom"/>
              </v:shape>
            </w:pict>
          </mc:Fallback>
        </mc:AlternateContent>
      </w:r>
      <w:r>
        <w:rPr>
          <w:noProof/>
        </w:rPr>
        <mc:AlternateContent>
          <mc:Choice Requires="wps">
            <w:drawing>
              <wp:anchor distT="0" distB="0" distL="114300" distR="114300" simplePos="0" relativeHeight="251789312" behindDoc="0" locked="0" layoutInCell="1" allowOverlap="1" wp14:anchorId="1C992BD3" wp14:editId="3B330C2E">
                <wp:simplePos x="0" y="0"/>
                <wp:positionH relativeFrom="column">
                  <wp:posOffset>4541520</wp:posOffset>
                </wp:positionH>
                <wp:positionV relativeFrom="paragraph">
                  <wp:posOffset>102235</wp:posOffset>
                </wp:positionV>
                <wp:extent cx="815340" cy="563880"/>
                <wp:effectExtent l="0" t="19050" r="41910" b="45720"/>
                <wp:wrapNone/>
                <wp:docPr id="441730458" name="Arrow: Right 6"/>
                <wp:cNvGraphicFramePr/>
                <a:graphic xmlns:a="http://schemas.openxmlformats.org/drawingml/2006/main">
                  <a:graphicData uri="http://schemas.microsoft.com/office/word/2010/wordprocessingShape">
                    <wps:wsp>
                      <wps:cNvSpPr/>
                      <wps:spPr>
                        <a:xfrm>
                          <a:off x="0" y="0"/>
                          <a:ext cx="815340" cy="563880"/>
                        </a:xfrm>
                        <a:prstGeom prst="rightArrow">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6DFB5" id="Arrow: Right 6" o:spid="_x0000_s1026" type="#_x0000_t13" style="position:absolute;margin-left:357.6pt;margin-top:8.05pt;width:64.2pt;height:44.4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vIcQIAAE8FAAAOAAAAZHJzL2Uyb0RvYy54bWysVE1v2zAMvQ/YfxB0X22nSZcFdYqgRYcB&#10;RVusHXpWZSk2IIsapcTJfv0o2XGCrthh2EUmTfLxQ4+6vNq1hm0V+gZsyYuznDNlJVSNXZf8x/Pt&#10;pzlnPghbCQNWlXyvPL9afvxw2bmFmkANplLICMT6RedKXofgFlnmZa1a4c/AKUtGDdiKQCquswpF&#10;R+itySZ5fpF1gJVDkMp7+nvTG/ky4WutZHjQ2qvATMmptpBOTOdrPLPlpVisUbi6kUMZ4h+qaEVj&#10;KekIdSOCYBts/oBqG4ngQYczCW0GWjdSpR6omyJ/081TLZxKvdBwvBvH5P8frLzfPrlHpDF0zi88&#10;ibGLncY2fqk+tkvD2o/DUrvAJP2cF7PzKY1Ukml2cT6fp2Fmx2CHPnxV0LIolBybdR1WiNClQYnt&#10;nQ+UlgIOjjGjB9NUt40xSYksUNcG2VbQ/QkplQ3TeGcUdeKZHWtPUtgbFeON/a40ayqqdpKSJlq9&#10;BSx6Uy0q1ecpZnl+aGaMSDkTYETWVOGIPQC8V2wxFDv4x1CVWDkG538rrO90jEiZwYYxuG0s4HsA&#10;JoyZe38q/2Q0UXyFav+IDKHfCe/kbUMXdSd8eBRIS0B3S4sdHujQBrqSwyBxVgP+eu9/9CdukpWz&#10;jpaq5P7nRqDizHyzxNovxTRSJiRlOvs8IQVPLa+nFrtpr4HuvaAnxMkkRv9gDqJGaF9o/1cxK5mE&#10;lZS75DLgQbkO/bLTCyLVapXcaPOcCHf2yckIHqcaKfi8exHoBrYGovk9HBZQLN7QtfeNkRZWmwC6&#10;SVw+znWYN21tIs7wwsRn4VRPXsd3cPkbAAD//wMAUEsDBBQABgAIAAAAIQCyxc5Z3wAAAAoBAAAP&#10;AAAAZHJzL2Rvd25yZXYueG1sTI/BToNAEIbvJr7DZky82YVaoCJLYzTGixehifG2ZUfAsrOEXVp8&#10;e8eTHmf+L/98U+wWO4gTTr53pCBeRSCQGmd6ahXs6+ebLQgfNBk9OEIF3+hhV15eFDo37kxveKpC&#10;K7iEfK4VdCGMuZS+6dBqv3IjEmefbrI68Di10kz6zOV2kOsoSqXVPfGFTo/42GFzrGar4L12r9mx&#10;nqtk//RVN5QlL738UOr6anm4BxFwCX8w/OqzOpTsdHAzGS8GBVmcrBnlII1BMLDd3KYgDryINncg&#10;y0L+f6H8AQAA//8DAFBLAQItABQABgAIAAAAIQC2gziS/gAAAOEBAAATAAAAAAAAAAAAAAAAAAAA&#10;AABbQ29udGVudF9UeXBlc10ueG1sUEsBAi0AFAAGAAgAAAAhADj9If/WAAAAlAEAAAsAAAAAAAAA&#10;AAAAAAAALwEAAF9yZWxzLy5yZWxzUEsBAi0AFAAGAAgAAAAhANZuS8hxAgAATwUAAA4AAAAAAAAA&#10;AAAAAAAALgIAAGRycy9lMm9Eb2MueG1sUEsBAi0AFAAGAAgAAAAhALLFzlnfAAAACgEAAA8AAAAA&#10;AAAAAAAAAAAAywQAAGRycy9kb3ducmV2LnhtbFBLBQYAAAAABAAEAPMAAADXBQAAAAA=&#10;" adj="14131" fillcolor="#ffc000 [3207]" strokecolor="#091723 [484]" strokeweight="1pt"/>
            </w:pict>
          </mc:Fallback>
        </mc:AlternateContent>
      </w:r>
      <w:r>
        <w:rPr>
          <w:noProof/>
        </w:rPr>
        <mc:AlternateContent>
          <mc:Choice Requires="wps">
            <w:drawing>
              <wp:anchor distT="0" distB="0" distL="114300" distR="114300" simplePos="0" relativeHeight="251782144" behindDoc="0" locked="0" layoutInCell="1" allowOverlap="1" wp14:anchorId="306701FA" wp14:editId="688CCB42">
                <wp:simplePos x="0" y="0"/>
                <wp:positionH relativeFrom="margin">
                  <wp:posOffset>5154930</wp:posOffset>
                </wp:positionH>
                <wp:positionV relativeFrom="paragraph">
                  <wp:posOffset>10795</wp:posOffset>
                </wp:positionV>
                <wp:extent cx="1249680" cy="716280"/>
                <wp:effectExtent l="0" t="0" r="26670" b="26670"/>
                <wp:wrapTopAndBottom/>
                <wp:docPr id="938306919"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B790" id="Flowchart: Process 4" o:spid="_x0000_s1026" type="#_x0000_t109" style="position:absolute;margin-left:405.9pt;margin-top:.85pt;width:98.4pt;height:56.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6WYQIAAB8FAAAOAAAAZHJzL2Uyb0RvYy54bWysVE1v2zAMvQ/YfxB0X20H6VdQpwhSdBhQ&#10;tEHToWdVlmoDsqhRSpzs14+SHadoix2GXWxKJB+pp0ddXe9aw7YKfQO25MVJzpmyEqrGvpb859Pt&#10;twvOfBC2EgasKvleeX49//rlqnMzNYEaTKWQEYj1s86VvA7BzbLMy1q1wp+AU5acGrAVgZb4mlUo&#10;OkJvTTbJ87OsA6wcglTe0+5N7+TzhK+1kuFBa68CMyWn3kL6Yvq+xG82vxKzVxSubuTQhviHLlrR&#10;WCo6Qt2IINgGmw9QbSMRPOhwIqHNQOtGqnQGOk2RvzvNuhZOpbMQOd6NNPn/Byvvt2u3QqKhc37m&#10;yYyn2Gls45/6Y7tE1n4kS+0Ck7RZTKaXZxfEqSTfeXE2IZtgsmO2Qx++K2hZNEquDXTLWmBY9deV&#10;+BLbOx/6tEM4YRx7SVbYGxXbMfZRadZUVH2SspNM1NIg2wq6YCGlsqHoXbWoVL9dnOb5obcxI3Wa&#10;ACOybowZsQeAKMGP2H2vQ3xMVUllY3L+t8b65DEjVQYbxuS2sYCfARg61VC5jz+Q1FMTWXqBar9C&#10;htBr3Dt52xDvd8KHlUASNV0VDWp4oE+8ipLDYHFWA/7+bD/Gk9bIy1lHQ1Jy/2sjUHFmflhS4WUx&#10;ncapSovp6fmEFvjW8/LWYzftEuiaCnoSnExmjA/mYGqE9pnmeRGrkktYSbVLLgMeFsvQDy+9CFIt&#10;FimMJsmJcGfXTkbwyGrU0tPuWaAbxBdItvdwGCgxe6e7PjZmWlhsAugmifLI68A3TWESzvBixDF/&#10;u05Rx3dt/gcAAP//AwBQSwMEFAAGAAgAAAAhAGQ78xrgAAAACgEAAA8AAABkcnMvZG93bnJldi54&#10;bWxMj8FOwzAMhu9IvENkJG4sacW2qjSd2ATihNAGmji6jWkrGqdqsq3w9GSncbP1/fr9uVhNthdH&#10;Gn3nWEMyUyCIa2c6bjR8vD/fZSB8QDbYOyYNP+RhVV5fFZgbd+ItHXehEbGEfY4a2hCGXEpft2TR&#10;z9xAHNmXGy2GuI6NNCOeYrntZarUQlrsOF5ocaBNS/X37mA1pPPq027U8mn9+7oOE+7Tl+3bXuvb&#10;m+nxAUSgKVzCcNaP6lBGp8od2HjRa8iSJKqHCJYgzlypbAGiilNyPwdZFvL/C+UfAAAA//8DAFBL&#10;AQItABQABgAIAAAAIQC2gziS/gAAAOEBAAATAAAAAAAAAAAAAAAAAAAAAABbQ29udGVudF9UeXBl&#10;c10ueG1sUEsBAi0AFAAGAAgAAAAhADj9If/WAAAAlAEAAAsAAAAAAAAAAAAAAAAALwEAAF9yZWxz&#10;Ly5yZWxzUEsBAi0AFAAGAAgAAAAhAI7xDpZhAgAAHwUAAA4AAAAAAAAAAAAAAAAALgIAAGRycy9l&#10;Mm9Eb2MueG1sUEsBAi0AFAAGAAgAAAAhAGQ78xrgAAAACgEAAA8AAAAAAAAAAAAAAAAAuwQAAGRy&#10;cy9kb3ducmV2LnhtbFBLBQYAAAAABAAEAPMAAADIBQAAAAA=&#10;" fillcolor="#5b9bd5 [3204]" strokecolor="#091723 [484]" strokeweight="1pt">
                <w10:wrap type="topAndBottom" anchorx="margin"/>
              </v:shape>
            </w:pict>
          </mc:Fallback>
        </mc:AlternateContent>
      </w:r>
      <w:r>
        <w:rPr>
          <w:noProof/>
        </w:rPr>
        <mc:AlternateContent>
          <mc:Choice Requires="wps">
            <w:drawing>
              <wp:anchor distT="0" distB="0" distL="114300" distR="114300" simplePos="0" relativeHeight="251781120" behindDoc="0" locked="0" layoutInCell="1" allowOverlap="1" wp14:anchorId="3B5DD272" wp14:editId="195F25ED">
                <wp:simplePos x="0" y="0"/>
                <wp:positionH relativeFrom="margin">
                  <wp:posOffset>3413760</wp:posOffset>
                </wp:positionH>
                <wp:positionV relativeFrom="paragraph">
                  <wp:posOffset>6350</wp:posOffset>
                </wp:positionV>
                <wp:extent cx="1249680" cy="716280"/>
                <wp:effectExtent l="0" t="0" r="26670" b="26670"/>
                <wp:wrapNone/>
                <wp:docPr id="1454557961"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4B5F3" id="Flowchart: Process 4" o:spid="_x0000_s1026" type="#_x0000_t109" style="position:absolute;margin-left:268.8pt;margin-top:.5pt;width:98.4pt;height:56.4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6WYQIAAB8FAAAOAAAAZHJzL2Uyb0RvYy54bWysVE1v2zAMvQ/YfxB0X20H6VdQpwhSdBhQ&#10;tEHToWdVlmoDsqhRSpzs14+SHadoix2GXWxKJB+pp0ddXe9aw7YKfQO25MVJzpmyEqrGvpb859Pt&#10;twvOfBC2EgasKvleeX49//rlqnMzNYEaTKWQEYj1s86VvA7BzbLMy1q1wp+AU5acGrAVgZb4mlUo&#10;OkJvTTbJ87OsA6wcglTe0+5N7+TzhK+1kuFBa68CMyWn3kL6Yvq+xG82vxKzVxSubuTQhviHLlrR&#10;WCo6Qt2IINgGmw9QbSMRPOhwIqHNQOtGqnQGOk2RvzvNuhZOpbMQOd6NNPn/Byvvt2u3QqKhc37m&#10;yYyn2Gls45/6Y7tE1n4kS+0Ck7RZTKaXZxfEqSTfeXE2IZtgsmO2Qx++K2hZNEquDXTLWmBY9deV&#10;+BLbOx/6tEM4YRx7SVbYGxXbMfZRadZUVH2SspNM1NIg2wq6YCGlsqHoXbWoVL9dnOb5obcxI3Wa&#10;ACOybowZsQeAKMGP2H2vQ3xMVUllY3L+t8b65DEjVQYbxuS2sYCfARg61VC5jz+Q1FMTWXqBar9C&#10;htBr3Dt52xDvd8KHlUASNV0VDWp4oE+8ipLDYHFWA/7+bD/Gk9bIy1lHQ1Jy/2sjUHFmflhS4WUx&#10;ncapSovp6fmEFvjW8/LWYzftEuiaCnoSnExmjA/mYGqE9pnmeRGrkktYSbVLLgMeFsvQDy+9CFIt&#10;FimMJsmJcGfXTkbwyGrU0tPuWaAbxBdItvdwGCgxe6e7PjZmWlhsAugmifLI68A3TWESzvBixDF/&#10;u05Rx3dt/gcAAP//AwBQSwMEFAAGAAgAAAAhAPdAGkXfAAAACQEAAA8AAABkcnMvZG93bnJldi54&#10;bWxMj81OwkAUhfcmvsPkmriTKS1QUjolQjSuDAENYXnbGdvGzp2mM0D16b2udHnynZyffD3aTlzM&#10;4FtHCqaTCIShyumWagXvb88PSxA+IGnsHBkFX8bDuri9yTHT7kp7czmEWnAI+QwVNCH0mZS+aoxF&#10;P3G9IWYfbrAYWA611ANeOdx2Mo6ihbTYEjc02JttY6rPw9kqiOflyW6j9Gnz/boJIx7jl/3uqNT9&#10;3fi4AhHMGP7M8Dufp0PBm0p3Ju1Fp2CepAu2MuBLzNNkNgNRsp4mS5BFLv8/KH4AAAD//wMAUEsB&#10;Ai0AFAAGAAgAAAAhALaDOJL+AAAA4QEAABMAAAAAAAAAAAAAAAAAAAAAAFtDb250ZW50X1R5cGVz&#10;XS54bWxQSwECLQAUAAYACAAAACEAOP0h/9YAAACUAQAACwAAAAAAAAAAAAAAAAAvAQAAX3JlbHMv&#10;LnJlbHNQSwECLQAUAAYACAAAACEAjvEOlmECAAAfBQAADgAAAAAAAAAAAAAAAAAuAgAAZHJzL2Uy&#10;b0RvYy54bWxQSwECLQAUAAYACAAAACEA90AaRd8AAAAJAQAADwAAAAAAAAAAAAAAAAC7BAAAZHJz&#10;L2Rvd25yZXYueG1sUEsFBgAAAAAEAAQA8wAAAMcFAAAAAA==&#10;" fillcolor="#5b9bd5 [3204]" strokecolor="#091723 [484]" strokeweight="1pt">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723EA5A6" wp14:editId="261091A6">
                <wp:simplePos x="0" y="0"/>
                <wp:positionH relativeFrom="margin">
                  <wp:posOffset>1706880</wp:posOffset>
                </wp:positionH>
                <wp:positionV relativeFrom="paragraph">
                  <wp:posOffset>10160</wp:posOffset>
                </wp:positionV>
                <wp:extent cx="1249680" cy="716280"/>
                <wp:effectExtent l="0" t="0" r="26670" b="26670"/>
                <wp:wrapNone/>
                <wp:docPr id="2012625186"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ACAA" id="Flowchart: Process 4" o:spid="_x0000_s1026" type="#_x0000_t109" style="position:absolute;margin-left:134.4pt;margin-top:.8pt;width:98.4pt;height:56.4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6WYQIAAB8FAAAOAAAAZHJzL2Uyb0RvYy54bWysVE1v2zAMvQ/YfxB0X20H6VdQpwhSdBhQ&#10;tEHToWdVlmoDsqhRSpzs14+SHadoix2GXWxKJB+pp0ddXe9aw7YKfQO25MVJzpmyEqrGvpb859Pt&#10;twvOfBC2EgasKvleeX49//rlqnMzNYEaTKWQEYj1s86VvA7BzbLMy1q1wp+AU5acGrAVgZb4mlUo&#10;OkJvTTbJ87OsA6wcglTe0+5N7+TzhK+1kuFBa68CMyWn3kL6Yvq+xG82vxKzVxSubuTQhviHLlrR&#10;WCo6Qt2IINgGmw9QbSMRPOhwIqHNQOtGqnQGOk2RvzvNuhZOpbMQOd6NNPn/Byvvt2u3QqKhc37m&#10;yYyn2Gls45/6Y7tE1n4kS+0Ck7RZTKaXZxfEqSTfeXE2IZtgsmO2Qx++K2hZNEquDXTLWmBY9deV&#10;+BLbOx/6tEM4YRx7SVbYGxXbMfZRadZUVH2SspNM1NIg2wq6YCGlsqHoXbWoVL9dnOb5obcxI3Wa&#10;ACOybowZsQeAKMGP2H2vQ3xMVUllY3L+t8b65DEjVQYbxuS2sYCfARg61VC5jz+Q1FMTWXqBar9C&#10;htBr3Dt52xDvd8KHlUASNV0VDWp4oE+8ipLDYHFWA/7+bD/Gk9bIy1lHQ1Jy/2sjUHFmflhS4WUx&#10;ncapSovp6fmEFvjW8/LWYzftEuiaCnoSnExmjA/mYGqE9pnmeRGrkktYSbVLLgMeFsvQDy+9CFIt&#10;FimMJsmJcGfXTkbwyGrU0tPuWaAbxBdItvdwGCgxe6e7PjZmWlhsAugmifLI68A3TWESzvBixDF/&#10;u05Rx3dt/gcAAP//AwBQSwMEFAAGAAgAAAAhAL7oVGbeAAAACQEAAA8AAABkcnMvZG93bnJldi54&#10;bWxMj8FKw0AQhu+C77CM4M1uGtJYYjbFFsVTkVYpHifJmASzsyG7baNP7/Skt/n5h2++yVeT7dWJ&#10;Rt85NjCfRaCIK1d33Bh4f3u+W4LyAbnG3jEZ+CYPq+L6Ksesdmfe0WkfGiUQ9hkaaEMYMq191ZJF&#10;P3MDsXSfbrQYJI6Nrkc8C9z2Oo6iVFvsWC60ONCmpeprf7QG4kX5YTfR/dP6Z7sOEx7il93rwZjb&#10;m+nxAVSgKfwtw0Vf1KEQp9IdufaqF0a6FPUgRQpK+iRdyFBKnicJ6CLX/z8ofgEAAP//AwBQSwEC&#10;LQAUAAYACAAAACEAtoM4kv4AAADhAQAAEwAAAAAAAAAAAAAAAAAAAAAAW0NvbnRlbnRfVHlwZXNd&#10;LnhtbFBLAQItABQABgAIAAAAIQA4/SH/1gAAAJQBAAALAAAAAAAAAAAAAAAAAC8BAABfcmVscy8u&#10;cmVsc1BLAQItABQABgAIAAAAIQCO8Q6WYQIAAB8FAAAOAAAAAAAAAAAAAAAAAC4CAABkcnMvZTJv&#10;RG9jLnhtbFBLAQItABQABgAIAAAAIQC+6FRm3gAAAAkBAAAPAAAAAAAAAAAAAAAAALsEAABkcnMv&#10;ZG93bnJldi54bWxQSwUGAAAAAAQABADzAAAAxgUAAAAA&#10;" fillcolor="#5b9bd5 [3204]" strokecolor="#091723 [484]" strokeweight="1pt">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236E4DA2" wp14:editId="0E4FA8CD">
                <wp:simplePos x="0" y="0"/>
                <wp:positionH relativeFrom="margin">
                  <wp:posOffset>-3810</wp:posOffset>
                </wp:positionH>
                <wp:positionV relativeFrom="paragraph">
                  <wp:posOffset>3175</wp:posOffset>
                </wp:positionV>
                <wp:extent cx="1249680" cy="716280"/>
                <wp:effectExtent l="0" t="0" r="26670" b="26670"/>
                <wp:wrapTopAndBottom/>
                <wp:docPr id="1211701215" name="Flowchart: Process 4"/>
                <wp:cNvGraphicFramePr/>
                <a:graphic xmlns:a="http://schemas.openxmlformats.org/drawingml/2006/main">
                  <a:graphicData uri="http://schemas.microsoft.com/office/word/2010/wordprocessingShape">
                    <wps:wsp>
                      <wps:cNvSpPr/>
                      <wps:spPr>
                        <a:xfrm>
                          <a:off x="0" y="0"/>
                          <a:ext cx="1249680" cy="71628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EE8C3" id="Flowchart: Process 4" o:spid="_x0000_s1026" type="#_x0000_t109" style="position:absolute;margin-left:-.3pt;margin-top:.25pt;width:98.4pt;height:56.4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6WYQIAAB8FAAAOAAAAZHJzL2Uyb0RvYy54bWysVE1v2zAMvQ/YfxB0X20H6VdQpwhSdBhQ&#10;tEHToWdVlmoDsqhRSpzs14+SHadoix2GXWxKJB+pp0ddXe9aw7YKfQO25MVJzpmyEqrGvpb859Pt&#10;twvOfBC2EgasKvleeX49//rlqnMzNYEaTKWQEYj1s86VvA7BzbLMy1q1wp+AU5acGrAVgZb4mlUo&#10;OkJvTTbJ87OsA6wcglTe0+5N7+TzhK+1kuFBa68CMyWn3kL6Yvq+xG82vxKzVxSubuTQhviHLlrR&#10;WCo6Qt2IINgGmw9QbSMRPOhwIqHNQOtGqnQGOk2RvzvNuhZOpbMQOd6NNPn/Byvvt2u3QqKhc37m&#10;yYyn2Gls45/6Y7tE1n4kS+0Ck7RZTKaXZxfEqSTfeXE2IZtgsmO2Qx++K2hZNEquDXTLWmBY9deV&#10;+BLbOx/6tEM4YRx7SVbYGxXbMfZRadZUVH2SspNM1NIg2wq6YCGlsqHoXbWoVL9dnOb5obcxI3Wa&#10;ACOybowZsQeAKMGP2H2vQ3xMVUllY3L+t8b65DEjVQYbxuS2sYCfARg61VC5jz+Q1FMTWXqBar9C&#10;htBr3Dt52xDvd8KHlUASNV0VDWp4oE+8ipLDYHFWA/7+bD/Gk9bIy1lHQ1Jy/2sjUHFmflhS4WUx&#10;ncapSovp6fmEFvjW8/LWYzftEuiaCnoSnExmjA/mYGqE9pnmeRGrkktYSbVLLgMeFsvQDy+9CFIt&#10;FimMJsmJcGfXTkbwyGrU0tPuWaAbxBdItvdwGCgxe6e7PjZmWlhsAugmifLI68A3TWESzvBixDF/&#10;u05Rx3dt/gcAAP//AwBQSwMEFAAGAAgAAAAhAJf1vQ7dAAAABgEAAA8AAABkcnMvZG93bnJldi54&#10;bWxMjkFPwkAUhO8m/IfNI/EGW0qoWLslQDSejAEJ8fjafbYN3bdNd4Hqr3c56W0mM5n5stVgWnGh&#10;3jWWFcymEQji0uqGKwWHj5fJEoTzyBpby6Tgmxys8tFdhqm2V97RZe8rEUbYpaig9r5LpXRlTQbd&#10;1HbEIfuyvUEfbF9J3eM1jJtWxlGUSIMNh4caO9rWVJ72Z6MgXhSfZhs9PG9+3jZ+wGP8uns/KnU/&#10;HtZPIDwN/q8MN/yADnlgKuyZtROtgkkSigoWIG7hYxKDKIKYzecg80z+x89/AQAA//8DAFBLAQIt&#10;ABQABgAIAAAAIQC2gziS/gAAAOEBAAATAAAAAAAAAAAAAAAAAAAAAABbQ29udGVudF9UeXBlc10u&#10;eG1sUEsBAi0AFAAGAAgAAAAhADj9If/WAAAAlAEAAAsAAAAAAAAAAAAAAAAALwEAAF9yZWxzLy5y&#10;ZWxzUEsBAi0AFAAGAAgAAAAhAI7xDpZhAgAAHwUAAA4AAAAAAAAAAAAAAAAALgIAAGRycy9lMm9E&#10;b2MueG1sUEsBAi0AFAAGAAgAAAAhAJf1vQ7dAAAABgEAAA8AAAAAAAAAAAAAAAAAuwQAAGRycy9k&#10;b3ducmV2LnhtbFBLBQYAAAAABAAEAPMAAADFBQAAAAA=&#10;" fillcolor="#5b9bd5 [3204]" strokecolor="#091723 [484]" strokeweight="1pt">
                <w10:wrap type="topAndBottom" anchorx="margin"/>
              </v:shape>
            </w:pict>
          </mc:Fallback>
        </mc:AlternateContent>
      </w:r>
    </w:p>
    <w:p w14:paraId="6AE12EE3" w14:textId="664D2DE8" w:rsidR="00B139EF" w:rsidRDefault="00363FF8" w:rsidP="00A552A2">
      <w:pPr>
        <w:pStyle w:val="BodyText1"/>
      </w:pPr>
      <w:r>
        <w:t>Division 8.2 of the ACAT Act would still apply, allowing parties to apply to remove the application from ACAT to the ACT Supreme Court (section 83), for questions of law or issues of public importance to be referred to the ACT Supreme Court (section 84) and for appeals to be dealt with by the ACT Supreme Court (sections 85 and 86).</w:t>
      </w:r>
      <w:r>
        <w:rPr>
          <w:rStyle w:val="FootnoteReference"/>
        </w:rPr>
        <w:footnoteReference w:id="27"/>
      </w:r>
      <w:r w:rsidR="00B139EF">
        <w:t xml:space="preserve"> </w:t>
      </w:r>
    </w:p>
    <w:p w14:paraId="5BD0B7AB" w14:textId="10726D61" w:rsidR="00B139EF" w:rsidRDefault="00B139EF" w:rsidP="00B139EF">
      <w:r>
        <w:t>Division 8.2 would also assist in the situation that someone makes a human rights complaint about ACAT in its administrative capacity, or where a matter has “already been the subject of a direct right of action to the Supreme Court, or raised in ACAT, or another oversight body”.</w:t>
      </w:r>
      <w:r>
        <w:rPr>
          <w:rStyle w:val="FootnoteReference"/>
        </w:rPr>
        <w:footnoteReference w:id="28"/>
      </w:r>
      <w:r w:rsidR="00B23BBF">
        <w:t xml:space="preserve"> In these circumstances, it would not be appropriate for the Human Rights Commission, or ACAT, to deal with the complaint but Division 8.2 would allow types of matters to be removed to, referred to or appealed in the Supreme Court where appropriate.</w:t>
      </w:r>
    </w:p>
    <w:p w14:paraId="10453AE7" w14:textId="4BB4A4A3" w:rsidR="0049362D" w:rsidRDefault="00B139EF" w:rsidP="00B139EF">
      <w:r>
        <w:t xml:space="preserve">This option has the advantage of being a simple pathway which consists of </w:t>
      </w:r>
      <w:r w:rsidR="00470E29">
        <w:t xml:space="preserve">clear, </w:t>
      </w:r>
      <w:r>
        <w:t xml:space="preserve">straightforward steps </w:t>
      </w:r>
      <w:r w:rsidR="00470E29">
        <w:t xml:space="preserve">for the complainant </w:t>
      </w:r>
      <w:r>
        <w:t xml:space="preserve">to progress through. This approach would help remove any confusion for applicants about which forum to select, would involve a </w:t>
      </w:r>
      <w:proofErr w:type="gramStart"/>
      <w:r>
        <w:t>single entry</w:t>
      </w:r>
      <w:proofErr w:type="gramEnd"/>
      <w:r>
        <w:t xml:space="preserve"> point and would mean that all complaints are treated equally. </w:t>
      </w:r>
      <w:r w:rsidR="00595526">
        <w:t xml:space="preserve">This option also acknowledges that the majority of complaints benefit from early, informal resolution </w:t>
      </w:r>
      <w:r w:rsidR="00E078C3">
        <w:t xml:space="preserve">and the more formal forums of ACAT and the Supreme Court would be reserved for </w:t>
      </w:r>
      <w:r w:rsidR="00C23E90">
        <w:t>the</w:t>
      </w:r>
      <w:r w:rsidR="00E078C3">
        <w:t xml:space="preserve"> small proportion of complaints which </w:t>
      </w:r>
      <w:r w:rsidR="00C23E90">
        <w:t xml:space="preserve">cannot be resolved through alternative dispute resolution. </w:t>
      </w:r>
    </w:p>
    <w:p w14:paraId="49B5AEBF" w14:textId="03C77395" w:rsidR="00D57354" w:rsidRPr="0049362D" w:rsidRDefault="00D57354" w:rsidP="00B139EF">
      <w:r>
        <w:t>A disadvantage of this approach is that it may be seen as regressive</w:t>
      </w:r>
      <w:r w:rsidR="00A64588">
        <w:t xml:space="preserve"> because it removes</w:t>
      </w:r>
      <w:r>
        <w:t xml:space="preserve"> the option for access to justice through the Supreme Court </w:t>
      </w:r>
      <w:r w:rsidR="0076102F">
        <w:t>without first pursuing the other steps.</w:t>
      </w:r>
      <w:r w:rsidR="003D6EC7">
        <w:t xml:space="preserve"> </w:t>
      </w:r>
      <w:r w:rsidR="0089524D">
        <w:t xml:space="preserve">This may delay significant human rights matters including test cases being determined by the Supreme Court. </w:t>
      </w:r>
    </w:p>
    <w:p w14:paraId="2E93E9D2" w14:textId="41F11F98" w:rsidR="00FF07A8" w:rsidRDefault="00FF07A8" w:rsidP="00A552A2">
      <w:pPr>
        <w:pStyle w:val="Boxed1Heading"/>
      </w:pPr>
      <w:r>
        <w:t>CONSULTATION</w:t>
      </w:r>
      <w:r w:rsidR="003B6820">
        <w:t xml:space="preserve"> QUESTION 1</w:t>
      </w:r>
    </w:p>
    <w:p w14:paraId="5C266CCF" w14:textId="3BFCE120" w:rsidR="00C77916" w:rsidRPr="008275BC" w:rsidRDefault="00C77916" w:rsidP="00A552A2">
      <w:pPr>
        <w:pStyle w:val="Boxed1Heading"/>
      </w:pPr>
      <w:r w:rsidRPr="008275BC">
        <w:t xml:space="preserve">Should the ACAT Pathway </w:t>
      </w:r>
      <w:r w:rsidR="008F0F2C">
        <w:t>operate separately to</w:t>
      </w:r>
      <w:r w:rsidR="008F0F2C" w:rsidRPr="008275BC">
        <w:t xml:space="preserve"> </w:t>
      </w:r>
      <w:r w:rsidRPr="008275BC">
        <w:t>the existing cause of action to the Supreme Court?</w:t>
      </w:r>
      <w:r w:rsidR="008F0F2C" w:rsidRPr="008F0F2C">
        <w:rPr>
          <w:bCs/>
          <w:color w:val="7030A0"/>
          <w:sz w:val="28"/>
          <w:szCs w:val="28"/>
        </w:rPr>
        <w:t xml:space="preserve"> </w:t>
      </w:r>
    </w:p>
    <w:p w14:paraId="17A9E4BE" w14:textId="77777777" w:rsidR="00087EC2" w:rsidRPr="00D775AF" w:rsidRDefault="00087EC2" w:rsidP="00087EC2">
      <w:pPr>
        <w:pStyle w:val="Boxed1Heading"/>
        <w:rPr>
          <w:b w:val="0"/>
          <w:bCs/>
          <w:u w:val="single"/>
        </w:rPr>
      </w:pPr>
      <w:r w:rsidRPr="00D775AF">
        <w:rPr>
          <w:b w:val="0"/>
          <w:bCs/>
          <w:u w:val="single"/>
        </w:rPr>
        <w:t xml:space="preserve">Option 1: ACAT Pathway supplements existing cause of action </w:t>
      </w:r>
    </w:p>
    <w:p w14:paraId="4F5FF99E" w14:textId="09997EF9" w:rsidR="00087EC2" w:rsidRPr="008A435A" w:rsidRDefault="00087EC2" w:rsidP="00D775AF">
      <w:pPr>
        <w:pStyle w:val="Boxed1Bullet"/>
      </w:pPr>
      <w:r>
        <w:t xml:space="preserve">A person </w:t>
      </w:r>
      <w:r w:rsidRPr="008A435A">
        <w:t>may commence proceedings</w:t>
      </w:r>
      <w:r>
        <w:t xml:space="preserve"> about a breach of human rights</w:t>
      </w:r>
      <w:r w:rsidRPr="008A435A">
        <w:t xml:space="preserve"> in the Supreme Court at any time</w:t>
      </w:r>
      <w:r w:rsidRPr="00A552A2">
        <w:t xml:space="preserve"> </w:t>
      </w:r>
      <w:r>
        <w:t>without having first applied to</w:t>
      </w:r>
      <w:r w:rsidR="008F0F2C">
        <w:t xml:space="preserve"> the ACT Human Rights Commission or</w:t>
      </w:r>
      <w:r>
        <w:t xml:space="preserve"> ACAT</w:t>
      </w:r>
      <w:r w:rsidRPr="008A435A">
        <w:t>.</w:t>
      </w:r>
    </w:p>
    <w:p w14:paraId="2FF7FB1D" w14:textId="77777777" w:rsidR="00087EC2" w:rsidRPr="00D775AF" w:rsidRDefault="00087EC2" w:rsidP="00087EC2">
      <w:pPr>
        <w:pStyle w:val="Boxed1Heading"/>
        <w:rPr>
          <w:b w:val="0"/>
          <w:bCs/>
          <w:u w:val="single"/>
        </w:rPr>
      </w:pPr>
      <w:r w:rsidRPr="00D775AF">
        <w:rPr>
          <w:b w:val="0"/>
          <w:bCs/>
          <w:u w:val="single"/>
        </w:rPr>
        <w:t>Option 2: ACAT pathway replaces existing cause of action</w:t>
      </w:r>
    </w:p>
    <w:p w14:paraId="576963C5" w14:textId="77777777" w:rsidR="00087EC2" w:rsidRPr="008A435A" w:rsidRDefault="00087EC2" w:rsidP="00087EC2">
      <w:pPr>
        <w:pStyle w:val="Boxed1Bullet"/>
      </w:pPr>
      <w:r w:rsidRPr="008A435A">
        <w:t xml:space="preserve">A person may </w:t>
      </w:r>
      <w:r w:rsidRPr="009D4614">
        <w:rPr>
          <w:u w:val="single"/>
        </w:rPr>
        <w:t>only</w:t>
      </w:r>
      <w:r w:rsidRPr="008A435A">
        <w:t xml:space="preserve"> have their</w:t>
      </w:r>
      <w:r>
        <w:t xml:space="preserve"> claim about a breach of</w:t>
      </w:r>
      <w:r w:rsidRPr="008A435A">
        <w:t xml:space="preserve"> </w:t>
      </w:r>
      <w:r>
        <w:t xml:space="preserve">human rights </w:t>
      </w:r>
      <w:r w:rsidRPr="008A435A">
        <w:t>heard by the Supreme Court on appeal from ACAT, on referral from ACAT or in proceedings commenced under another law</w:t>
      </w:r>
      <w:r>
        <w:t xml:space="preserve">. </w:t>
      </w:r>
    </w:p>
    <w:p w14:paraId="6A31C925" w14:textId="1D60DBF3" w:rsidR="00AD34F0" w:rsidRDefault="00637F8A" w:rsidP="00BB2057">
      <w:pPr>
        <w:pStyle w:val="Heading2"/>
      </w:pPr>
      <w:bookmarkStart w:id="14" w:name="_Toc199342771"/>
      <w:r>
        <w:lastRenderedPageBreak/>
        <w:t>4</w:t>
      </w:r>
      <w:r w:rsidR="00805BA6" w:rsidRPr="00805BA6">
        <w:t xml:space="preserve">. </w:t>
      </w:r>
      <w:r w:rsidR="005A7C82" w:rsidRPr="00805BA6">
        <w:t>Remedies</w:t>
      </w:r>
      <w:r w:rsidR="00F84F14">
        <w:t xml:space="preserve"> in ACAT</w:t>
      </w:r>
      <w:bookmarkEnd w:id="14"/>
    </w:p>
    <w:p w14:paraId="50F253AC" w14:textId="666F9725" w:rsidR="00EC4944" w:rsidRDefault="00EC4944" w:rsidP="00EC4944">
      <w:r>
        <w:t xml:space="preserve">A new ACAT pathway will need to </w:t>
      </w:r>
      <w:r w:rsidR="005251EC">
        <w:t xml:space="preserve">consider the types of remedies ACAT may order. </w:t>
      </w:r>
      <w:r w:rsidR="00D014A5">
        <w:t xml:space="preserve">This section will provide an overview of two possible options: </w:t>
      </w:r>
      <w:r w:rsidR="0076102F">
        <w:t xml:space="preserve">replicate </w:t>
      </w:r>
      <w:r w:rsidR="005251EC">
        <w:t xml:space="preserve">the </w:t>
      </w:r>
      <w:r w:rsidR="00F9045D">
        <w:t>existing power of the Supreme Court under the Human Rights Act to make orders (except for damages</w:t>
      </w:r>
      <w:r w:rsidR="0076102F">
        <w:t>)</w:t>
      </w:r>
      <w:r w:rsidR="00D014A5">
        <w:t xml:space="preserve">, </w:t>
      </w:r>
      <w:r w:rsidR="00637F8A">
        <w:t xml:space="preserve">or </w:t>
      </w:r>
      <w:r w:rsidR="00F9045D">
        <w:t xml:space="preserve">replicate ACAT’s </w:t>
      </w:r>
      <w:r w:rsidR="00637F8A">
        <w:t xml:space="preserve">current </w:t>
      </w:r>
      <w:r w:rsidR="00F9045D">
        <w:t>powers with respect to discrimination complaints</w:t>
      </w:r>
      <w:r w:rsidR="00637F8A">
        <w:t>.</w:t>
      </w:r>
      <w:r w:rsidR="00F9045D">
        <w:t xml:space="preserve"> </w:t>
      </w:r>
    </w:p>
    <w:p w14:paraId="378F6FB4" w14:textId="77777777" w:rsidR="008A37EC" w:rsidRDefault="008A37EC" w:rsidP="00A552A2">
      <w:pPr>
        <w:pStyle w:val="Heading3"/>
      </w:pPr>
    </w:p>
    <w:p w14:paraId="39035FCD" w14:textId="623A1BBA" w:rsidR="005A7C82" w:rsidRPr="00256D6A" w:rsidRDefault="00A64588" w:rsidP="00A552A2">
      <w:pPr>
        <w:pStyle w:val="Heading3"/>
      </w:pPr>
      <w:bookmarkStart w:id="15" w:name="_Toc199342772"/>
      <w:r>
        <w:t>A</w:t>
      </w:r>
      <w:r w:rsidR="004025B1">
        <w:t xml:space="preserve">. </w:t>
      </w:r>
      <w:r w:rsidR="00B549FB">
        <w:t>Replicate</w:t>
      </w:r>
      <w:r w:rsidR="00B549FB" w:rsidRPr="00256D6A">
        <w:t xml:space="preserve"> </w:t>
      </w:r>
      <w:r w:rsidR="00805BA6" w:rsidRPr="00256D6A">
        <w:t>Section 40</w:t>
      </w:r>
      <w:proofErr w:type="gramStart"/>
      <w:r w:rsidR="00805BA6" w:rsidRPr="00256D6A">
        <w:t>C(</w:t>
      </w:r>
      <w:proofErr w:type="gramEnd"/>
      <w:r w:rsidR="00805BA6" w:rsidRPr="00256D6A">
        <w:t>6) of Human Rights Act</w:t>
      </w:r>
      <w:bookmarkEnd w:id="15"/>
    </w:p>
    <w:p w14:paraId="22CE0A25" w14:textId="19102F2F" w:rsidR="009E6F8A" w:rsidRPr="00BB2FC1" w:rsidRDefault="009E6F8A" w:rsidP="009E6F8A">
      <w:r>
        <w:t>Under section 40C of the Human Rights Act, a person may start a proceeding in the ACT Supreme Court about a contravention of section 40B by a public authority.</w:t>
      </w:r>
      <w:r>
        <w:rPr>
          <w:rStyle w:val="FootnoteReference"/>
        </w:rPr>
        <w:footnoteReference w:id="29"/>
      </w:r>
      <w:r>
        <w:t xml:space="preserve"> </w:t>
      </w:r>
      <w:r w:rsidR="007C5A68">
        <w:t>Under section 40C(6), t</w:t>
      </w:r>
      <w:r>
        <w:t>he Supreme Court may grant the relief it considers appropriate except damages.</w:t>
      </w:r>
      <w:r>
        <w:rPr>
          <w:rStyle w:val="FootnoteReference"/>
        </w:rPr>
        <w:footnoteReference w:id="30"/>
      </w:r>
      <w:r>
        <w:t xml:space="preserve"> This is understood to include declaratory and injunctive relief.</w:t>
      </w:r>
      <w:r w:rsidRPr="004C37E0">
        <w:rPr>
          <w:rStyle w:val="FootnoteReference"/>
          <w:b/>
          <w:bCs/>
          <w:szCs w:val="22"/>
        </w:rPr>
        <w:footnoteReference w:id="31"/>
      </w:r>
      <w:r w:rsidRPr="004C37E0">
        <w:rPr>
          <w:rStyle w:val="Heading4Char"/>
          <w:b w:val="0"/>
          <w:bCs/>
          <w:sz w:val="22"/>
          <w:szCs w:val="22"/>
        </w:rPr>
        <w:t xml:space="preserve"> </w:t>
      </w:r>
      <w:r>
        <w:rPr>
          <w:rStyle w:val="Heading4Char"/>
          <w:b w:val="0"/>
          <w:bCs/>
          <w:sz w:val="22"/>
          <w:szCs w:val="22"/>
        </w:rPr>
        <w:t>Other remedies</w:t>
      </w:r>
      <w:r w:rsidRPr="004C37E0">
        <w:rPr>
          <w:rStyle w:val="Heading4Char"/>
          <w:b w:val="0"/>
          <w:bCs/>
          <w:sz w:val="22"/>
          <w:szCs w:val="22"/>
        </w:rPr>
        <w:t xml:space="preserve"> </w:t>
      </w:r>
      <w:r>
        <w:rPr>
          <w:rStyle w:val="Heading4Char"/>
          <w:b w:val="0"/>
          <w:bCs/>
          <w:sz w:val="22"/>
          <w:szCs w:val="22"/>
        </w:rPr>
        <w:t>could</w:t>
      </w:r>
      <w:r w:rsidRPr="004C37E0">
        <w:rPr>
          <w:rStyle w:val="Heading4Char"/>
          <w:b w:val="0"/>
          <w:bCs/>
          <w:sz w:val="22"/>
          <w:szCs w:val="22"/>
        </w:rPr>
        <w:t xml:space="preserve"> include </w:t>
      </w:r>
      <w:r>
        <w:t>an order of mandamus compelling a public authority to fulfil a duty, an order of habeas corpus, an order that a public apology be made, an order that evidence obtained in breach of human rights be excluded</w:t>
      </w:r>
      <w:r w:rsidR="00D775AF">
        <w:t>,</w:t>
      </w:r>
      <w:r>
        <w:rPr>
          <w:rStyle w:val="FootnoteReference"/>
        </w:rPr>
        <w:footnoteReference w:id="32"/>
      </w:r>
      <w:r w:rsidR="00D775AF">
        <w:t xml:space="preserve"> or an order quashing an administrative decision as unlawful.</w:t>
      </w:r>
      <w:r w:rsidRPr="00BB2FC1">
        <w:t xml:space="preserve"> </w:t>
      </w:r>
    </w:p>
    <w:p w14:paraId="5567FEE3" w14:textId="77777777" w:rsidR="009E6F8A" w:rsidRDefault="009E6F8A" w:rsidP="009E6F8A">
      <w:r>
        <w:t>Additionally, the Supreme Court may, in any proceeding, make a declaration of incompatibility under section 32 of the Human Rights Act where it is satisfied that a territory law is not consistent with a human right. One way in which a person may receive vindication is through declarations of incompatibility.</w:t>
      </w:r>
      <w:r>
        <w:rPr>
          <w:rStyle w:val="FootnoteReference"/>
        </w:rPr>
        <w:footnoteReference w:id="33"/>
      </w:r>
    </w:p>
    <w:p w14:paraId="11AA3551" w14:textId="2AE39B81" w:rsidR="009E6F8A" w:rsidRDefault="007C5A68" w:rsidP="009E6F8A">
      <w:r>
        <w:t>Specific e</w:t>
      </w:r>
      <w:r w:rsidR="009E6F8A">
        <w:t xml:space="preserve">xamples of orders the Supreme Court has made about either alleged </w:t>
      </w:r>
      <w:proofErr w:type="gramStart"/>
      <w:r w:rsidR="009E6F8A">
        <w:t>contraventions</w:t>
      </w:r>
      <w:proofErr w:type="gramEnd"/>
      <w:r w:rsidR="009E6F8A">
        <w:t xml:space="preserve"> of section 40B or about territory laws inconsistent with human rights include: </w:t>
      </w:r>
    </w:p>
    <w:p w14:paraId="49CC18A7" w14:textId="77777777" w:rsidR="009E6F8A" w:rsidRDefault="009E6F8A" w:rsidP="009E6F8A">
      <w:pPr>
        <w:pStyle w:val="ListParagraph"/>
        <w:numPr>
          <w:ilvl w:val="0"/>
          <w:numId w:val="19"/>
        </w:numPr>
      </w:pPr>
      <w:r>
        <w:t>a declaration that a person’s human rights have been breached under the Human Rights Act,</w:t>
      </w:r>
      <w:r>
        <w:rPr>
          <w:rStyle w:val="FootnoteReference"/>
        </w:rPr>
        <w:footnoteReference w:id="34"/>
      </w:r>
      <w:r>
        <w:t xml:space="preserve"> </w:t>
      </w:r>
    </w:p>
    <w:p w14:paraId="35DA894C" w14:textId="77777777" w:rsidR="009E6F8A" w:rsidRDefault="009E6F8A" w:rsidP="009E6F8A">
      <w:pPr>
        <w:pStyle w:val="ListParagraph"/>
        <w:numPr>
          <w:ilvl w:val="0"/>
          <w:numId w:val="19"/>
        </w:numPr>
      </w:pPr>
      <w:r>
        <w:t xml:space="preserve">declarations that a public authority failed to </w:t>
      </w:r>
      <w:proofErr w:type="gramStart"/>
      <w:r>
        <w:t>give proper consideration to</w:t>
      </w:r>
      <w:proofErr w:type="gramEnd"/>
      <w:r>
        <w:t xml:space="preserve"> a person’s rights under the Human Rights Act,</w:t>
      </w:r>
      <w:r>
        <w:rPr>
          <w:rStyle w:val="FootnoteReference"/>
        </w:rPr>
        <w:footnoteReference w:id="35"/>
      </w:r>
    </w:p>
    <w:p w14:paraId="7595310B" w14:textId="77777777" w:rsidR="007C5A68" w:rsidRDefault="009E6F8A" w:rsidP="009E6F8A">
      <w:pPr>
        <w:pStyle w:val="ListParagraph"/>
        <w:numPr>
          <w:ilvl w:val="0"/>
          <w:numId w:val="19"/>
        </w:numPr>
      </w:pPr>
      <w:r>
        <w:t>a declaration that an operating procedure is incompatible with the Human Rights Act,</w:t>
      </w:r>
      <w:r>
        <w:rPr>
          <w:rStyle w:val="FootnoteReference"/>
        </w:rPr>
        <w:footnoteReference w:id="36"/>
      </w:r>
      <w:r>
        <w:t xml:space="preserve"> and</w:t>
      </w:r>
    </w:p>
    <w:p w14:paraId="4110C50F" w14:textId="5394267B" w:rsidR="009E6F8A" w:rsidRDefault="009E6F8A" w:rsidP="00A552A2">
      <w:pPr>
        <w:pStyle w:val="ListParagraph"/>
        <w:numPr>
          <w:ilvl w:val="0"/>
          <w:numId w:val="19"/>
        </w:numPr>
      </w:pPr>
      <w:r>
        <w:t>a declaration that legislation is incompatible with the Human Rights Act.</w:t>
      </w:r>
      <w:r>
        <w:rPr>
          <w:rStyle w:val="FootnoteReference"/>
        </w:rPr>
        <w:footnoteReference w:id="37"/>
      </w:r>
    </w:p>
    <w:p w14:paraId="144BAE0A" w14:textId="42450610" w:rsidR="00F83EC8" w:rsidRDefault="00F84F14" w:rsidP="005A7C82">
      <w:r>
        <w:t>One option could be to amend section 40</w:t>
      </w:r>
      <w:proofErr w:type="gramStart"/>
      <w:r>
        <w:t>C(</w:t>
      </w:r>
      <w:proofErr w:type="gramEnd"/>
      <w:r>
        <w:t xml:space="preserve">6) so that any court or tribunal may grant the relief it considers appropriate except damages. </w:t>
      </w:r>
      <w:r w:rsidR="00CD5169">
        <w:t xml:space="preserve">This option would also allow ACAT to deal flexibly with matters and make orders appropriate to the individual circumstances of each case. </w:t>
      </w:r>
      <w:r w:rsidR="00192BFB">
        <w:t xml:space="preserve">This would </w:t>
      </w:r>
      <w:r w:rsidR="00DD4C27">
        <w:t xml:space="preserve">align </w:t>
      </w:r>
      <w:r w:rsidR="00171D44">
        <w:t xml:space="preserve">somewhat </w:t>
      </w:r>
      <w:r w:rsidR="00DD4C27">
        <w:t xml:space="preserve">with </w:t>
      </w:r>
      <w:r w:rsidR="00E208AB">
        <w:t xml:space="preserve">the </w:t>
      </w:r>
      <w:r w:rsidR="00E208AB">
        <w:lastRenderedPageBreak/>
        <w:t xml:space="preserve">approach in the UK, which </w:t>
      </w:r>
      <w:r w:rsidR="00FC4F18">
        <w:t>allow</w:t>
      </w:r>
      <w:r w:rsidR="00171D44">
        <w:t>s</w:t>
      </w:r>
      <w:r w:rsidR="00FC4F18">
        <w:t xml:space="preserve"> an applicant to seek the same range of orders no matter the court or tribunal they have applied to. </w:t>
      </w:r>
    </w:p>
    <w:p w14:paraId="24CA1ED8" w14:textId="28936225" w:rsidR="00F84F14" w:rsidRDefault="00F83EC8" w:rsidP="005A7C82">
      <w:r>
        <w:t xml:space="preserve">However, this would mean that the orders available for human rights complaints would remain different to the orders available for discrimination complaints. Another </w:t>
      </w:r>
      <w:r w:rsidR="00171D44">
        <w:t xml:space="preserve">matter for </w:t>
      </w:r>
      <w:r>
        <w:t xml:space="preserve">consideration is whether it would be appropriate that ACAT could make declarations of incompatibility, or whether this should be reserved for the Supreme Court only. </w:t>
      </w:r>
    </w:p>
    <w:p w14:paraId="4CC9CF1A" w14:textId="77777777" w:rsidR="008A37EC" w:rsidRDefault="008A37EC" w:rsidP="00A552A2">
      <w:pPr>
        <w:pStyle w:val="Heading3"/>
      </w:pPr>
    </w:p>
    <w:p w14:paraId="5272760D" w14:textId="33D97583" w:rsidR="005A7C82" w:rsidRPr="00256D6A" w:rsidRDefault="00980C50" w:rsidP="00A552A2">
      <w:pPr>
        <w:pStyle w:val="Heading3"/>
      </w:pPr>
      <w:bookmarkStart w:id="16" w:name="_Toc199342773"/>
      <w:r>
        <w:t>B</w:t>
      </w:r>
      <w:r w:rsidR="004025B1">
        <w:t xml:space="preserve">. Replicate </w:t>
      </w:r>
      <w:r w:rsidR="00CD5169" w:rsidRPr="00256D6A">
        <w:t>section 53E of the Human Rights Commission Act</w:t>
      </w:r>
      <w:bookmarkEnd w:id="16"/>
    </w:p>
    <w:p w14:paraId="5B5DB37F" w14:textId="011D4063" w:rsidR="006D3D6F" w:rsidRDefault="006D3D6F" w:rsidP="006D3D6F">
      <w:r>
        <w:t>Another option could be to replicate the orders ACAT may make and matters it must consider with respect to discrimination complaints under section 53E of the Human Rights Commission Act. This option would make the</w:t>
      </w:r>
      <w:r w:rsidR="00DC1218">
        <w:t xml:space="preserve"> discrimination and human rights</w:t>
      </w:r>
      <w:r>
        <w:t xml:space="preserve"> jurisdictions </w:t>
      </w:r>
      <w:proofErr w:type="gramStart"/>
      <w:r>
        <w:t>consistent, and</w:t>
      </w:r>
      <w:proofErr w:type="gramEnd"/>
      <w:r>
        <w:t xml:space="preserve"> provide clear guidance for ACAT in the orders it may make and what it must consider. </w:t>
      </w:r>
    </w:p>
    <w:p w14:paraId="72FCAADE" w14:textId="0B83D653" w:rsidR="00BB2057" w:rsidRDefault="00BB2057" w:rsidP="00BB2057">
      <w:pPr>
        <w:pStyle w:val="bullet10"/>
      </w:pPr>
      <w:r>
        <w:t xml:space="preserve">Under section 53E of the Human Rights Commission Act, ACAT may make the following orders about a referred discrimination complaint: </w:t>
      </w:r>
    </w:p>
    <w:p w14:paraId="6233FA43" w14:textId="77777777" w:rsidR="00BB2057" w:rsidRDefault="00BB2057" w:rsidP="00BB2057">
      <w:pPr>
        <w:pStyle w:val="bullet10"/>
        <w:numPr>
          <w:ilvl w:val="0"/>
          <w:numId w:val="20"/>
        </w:numPr>
      </w:pPr>
      <w:r>
        <w:t xml:space="preserve">that the person complained about not repeat or continue the unlawful act, </w:t>
      </w:r>
    </w:p>
    <w:p w14:paraId="7F14C0AA" w14:textId="77777777" w:rsidR="00BB2057" w:rsidRDefault="00BB2057" w:rsidP="00BB2057">
      <w:pPr>
        <w:pStyle w:val="bullet10"/>
        <w:numPr>
          <w:ilvl w:val="0"/>
          <w:numId w:val="20"/>
        </w:numPr>
      </w:pPr>
      <w:r>
        <w:t xml:space="preserve">that the person complained about perform a stated reasonable act to redress any loss or damage suffered by a person because of the unlawful act, or </w:t>
      </w:r>
    </w:p>
    <w:p w14:paraId="146F3FB6" w14:textId="77777777" w:rsidR="0095432D" w:rsidRDefault="00BB2057" w:rsidP="00BB2057">
      <w:pPr>
        <w:pStyle w:val="bullet10"/>
        <w:numPr>
          <w:ilvl w:val="0"/>
          <w:numId w:val="20"/>
        </w:numPr>
      </w:pPr>
      <w:r>
        <w:t xml:space="preserve">that the person complained about pay to a person a stated amount by way of compensation for any loss or damage suffered by the person because of the unlawful act. </w:t>
      </w:r>
    </w:p>
    <w:p w14:paraId="5ECC27B1" w14:textId="359CBFB0" w:rsidR="00BB2057" w:rsidRDefault="00BB2057" w:rsidP="0095432D">
      <w:pPr>
        <w:pStyle w:val="bullet10"/>
      </w:pPr>
      <w:r>
        <w:t xml:space="preserve">In making an order, ACAT must consider: </w:t>
      </w:r>
    </w:p>
    <w:p w14:paraId="591B9CE6" w14:textId="77777777" w:rsidR="00BB2057" w:rsidRDefault="00BB2057" w:rsidP="00BB2057">
      <w:pPr>
        <w:pStyle w:val="bullet10"/>
        <w:numPr>
          <w:ilvl w:val="0"/>
          <w:numId w:val="20"/>
        </w:numPr>
      </w:pPr>
      <w:r>
        <w:t xml:space="preserve">the person’s right to equality before the law and the impact of the discrimination on the enjoyment of that right, </w:t>
      </w:r>
    </w:p>
    <w:p w14:paraId="135EF71A" w14:textId="77777777" w:rsidR="00BB2057" w:rsidRDefault="00BB2057" w:rsidP="00BB2057">
      <w:pPr>
        <w:pStyle w:val="bullet10"/>
        <w:numPr>
          <w:ilvl w:val="0"/>
          <w:numId w:val="20"/>
        </w:numPr>
      </w:pPr>
      <w:r>
        <w:t xml:space="preserve">the inherent dignity of all people and the impact of the discrimination on that person’s dignity, </w:t>
      </w:r>
    </w:p>
    <w:p w14:paraId="3D3A683A" w14:textId="77777777" w:rsidR="00BB2057" w:rsidRDefault="00BB2057" w:rsidP="00BB2057">
      <w:pPr>
        <w:pStyle w:val="bullet10"/>
        <w:numPr>
          <w:ilvl w:val="0"/>
          <w:numId w:val="20"/>
        </w:numPr>
      </w:pPr>
      <w:r>
        <w:t xml:space="preserve">the public interest in ensuring an appropriate balance between the right to equal and effective protection against discrimination and equality before the law without distinction or discrimination and other human rights, </w:t>
      </w:r>
    </w:p>
    <w:p w14:paraId="04BD535D" w14:textId="77777777" w:rsidR="00BB2057" w:rsidRDefault="00BB2057" w:rsidP="00BB2057">
      <w:pPr>
        <w:pStyle w:val="bullet10"/>
        <w:numPr>
          <w:ilvl w:val="0"/>
          <w:numId w:val="20"/>
        </w:numPr>
      </w:pPr>
      <w:r>
        <w:t xml:space="preserve">the nature of the discrimination, and </w:t>
      </w:r>
    </w:p>
    <w:p w14:paraId="6E33C58A" w14:textId="77777777" w:rsidR="00BB2057" w:rsidRDefault="00BB2057" w:rsidP="00BB2057">
      <w:pPr>
        <w:pStyle w:val="bullet10"/>
        <w:numPr>
          <w:ilvl w:val="0"/>
          <w:numId w:val="20"/>
        </w:numPr>
      </w:pPr>
      <w:r>
        <w:t xml:space="preserve">any mitigating factors. </w:t>
      </w:r>
    </w:p>
    <w:p w14:paraId="4F4A7FB8" w14:textId="33196F4D" w:rsidR="00A70E5F" w:rsidRDefault="00A70E5F" w:rsidP="00A70E5F">
      <w:r>
        <w:t>While the Human Rights Commission Act appears to be more prescriptive in the types of orders ACAT may make as compared to the orders the Supreme Court may make in the Human Rights Act, it is not clear that in practice, apart from damages</w:t>
      </w:r>
      <w:r w:rsidR="00DC1218">
        <w:t xml:space="preserve"> and potentially declaratory relief</w:t>
      </w:r>
      <w:r w:rsidR="001A7097">
        <w:t xml:space="preserve"> and the ability to quash a decision</w:t>
      </w:r>
      <w:r>
        <w:t xml:space="preserve">, that there is a significant practical difference. </w:t>
      </w:r>
    </w:p>
    <w:p w14:paraId="20FD2988" w14:textId="77777777" w:rsidR="008F0F2C" w:rsidRDefault="00F83EC8" w:rsidP="005A7C82">
      <w:r>
        <w:t>However, this option would mean that the</w:t>
      </w:r>
      <w:r w:rsidR="003660BE">
        <w:t xml:space="preserve"> exact types of</w:t>
      </w:r>
      <w:r>
        <w:t xml:space="preserve"> orders available through ACAT </w:t>
      </w:r>
      <w:r w:rsidR="003660BE">
        <w:t>c</w:t>
      </w:r>
      <w:r>
        <w:t>ould be different to those available through the ACT Supreme Court, which could lead to uncertainty where ACAT matters are appealed to the Supreme Court or p</w:t>
      </w:r>
      <w:r w:rsidR="00E73021">
        <w:t>erceived inequalities if a matter is required to be heard in one forum and not another</w:t>
      </w:r>
      <w:r w:rsidR="00985B78">
        <w:t>. This is</w:t>
      </w:r>
      <w:r w:rsidR="00E73021">
        <w:t xml:space="preserve"> especially because ACAT may currently award damages for unlawful discrimination, but the ACT Supreme Court cannot award damages for breaches of human rights. </w:t>
      </w:r>
    </w:p>
    <w:p w14:paraId="730090C7" w14:textId="77777777" w:rsidR="00C7724A" w:rsidRDefault="008F0F2C" w:rsidP="005A7C82">
      <w:r>
        <w:lastRenderedPageBreak/>
        <w:t>There have been two recent significant amendments to the Human Rights Act, including the introduction of a new right to a healthy environment and a new right to housing. Section 40(C)(</w:t>
      </w:r>
      <w:r w:rsidR="00C7724A">
        <w:t xml:space="preserve">8) imposes a litigation bar on claims about breaches of the right to a healthy environment until 1 October 2028 to allow the ACT Government time to fully understand, implement and institutionalise the right to a healthy environment in decision-making, policies and legislation. Similarly, the new right to housing will not come into effect until 1 January 2027.  </w:t>
      </w:r>
    </w:p>
    <w:p w14:paraId="6D09359E" w14:textId="0094C267" w:rsidR="00E73021" w:rsidRDefault="00C7724A" w:rsidP="005A7C82">
      <w:r>
        <w:t xml:space="preserve">Given this, the ACT Government does not propose considering amendments to allow the award of damages for breaches of human rights while some rights, and aspects of some rights, remain </w:t>
      </w:r>
      <w:proofErr w:type="spellStart"/>
      <w:r>
        <w:t>uncommenced</w:t>
      </w:r>
      <w:proofErr w:type="spellEnd"/>
      <w:r>
        <w:t xml:space="preserve">. </w:t>
      </w:r>
    </w:p>
    <w:p w14:paraId="7A69AC06" w14:textId="65F29D1E" w:rsidR="0089524D" w:rsidRDefault="00C7724A" w:rsidP="005A7C82">
      <w:r>
        <w:t>Furthermore, t</w:t>
      </w:r>
      <w:r w:rsidR="0089524D">
        <w:t>here are likely to be significant cost implications for the ACT Government of introducing damages as a remedy for human rights breaches</w:t>
      </w:r>
      <w:r w:rsidR="0093298F">
        <w:t xml:space="preserve">, </w:t>
      </w:r>
      <w:r>
        <w:t xml:space="preserve">and these need to be fully considered separately to the ACAT Pathway reforms. </w:t>
      </w:r>
    </w:p>
    <w:p w14:paraId="1700E465" w14:textId="77777777" w:rsidR="00CE2F02" w:rsidRDefault="00CE2F02" w:rsidP="005A7C82"/>
    <w:p w14:paraId="09AB2CB2" w14:textId="031AF93F" w:rsidR="008A396B" w:rsidRDefault="003B6820" w:rsidP="008A396B">
      <w:pPr>
        <w:pStyle w:val="Boxed1Heading"/>
      </w:pPr>
      <w:r>
        <w:t>CONSULTATION QUESTION 2</w:t>
      </w:r>
    </w:p>
    <w:p w14:paraId="4E9AEDD8" w14:textId="0E9F206A" w:rsidR="008A396B" w:rsidRPr="008275BC" w:rsidRDefault="008A396B" w:rsidP="00A552A2">
      <w:pPr>
        <w:pStyle w:val="Boxed1Heading"/>
      </w:pPr>
      <w:r>
        <w:t>What r</w:t>
      </w:r>
      <w:r w:rsidRPr="008275BC">
        <w:t>emedies</w:t>
      </w:r>
      <w:r>
        <w:t xml:space="preserve"> should be available? </w:t>
      </w:r>
    </w:p>
    <w:p w14:paraId="0F666AD5" w14:textId="3CD889B4" w:rsidR="003B6820" w:rsidRPr="001A7097" w:rsidRDefault="008A396B" w:rsidP="003B6820">
      <w:pPr>
        <w:pStyle w:val="Boxed1Heading"/>
        <w:rPr>
          <w:b w:val="0"/>
          <w:bCs/>
          <w:u w:val="single"/>
        </w:rPr>
      </w:pPr>
      <w:r w:rsidRPr="001A7097">
        <w:rPr>
          <w:b w:val="0"/>
          <w:bCs/>
          <w:u w:val="single"/>
        </w:rPr>
        <w:t xml:space="preserve">Option 1: </w:t>
      </w:r>
      <w:r w:rsidR="003660BE" w:rsidRPr="001A7097">
        <w:rPr>
          <w:b w:val="0"/>
          <w:bCs/>
          <w:u w:val="single"/>
        </w:rPr>
        <w:t xml:space="preserve">Replicate </w:t>
      </w:r>
      <w:r w:rsidR="003B6820" w:rsidRPr="001A7097">
        <w:rPr>
          <w:b w:val="0"/>
          <w:bCs/>
          <w:u w:val="single"/>
        </w:rPr>
        <w:t>section 40</w:t>
      </w:r>
      <w:proofErr w:type="gramStart"/>
      <w:r w:rsidR="003B6820" w:rsidRPr="001A7097">
        <w:rPr>
          <w:b w:val="0"/>
          <w:bCs/>
          <w:u w:val="single"/>
        </w:rPr>
        <w:t>C(</w:t>
      </w:r>
      <w:proofErr w:type="gramEnd"/>
      <w:r w:rsidR="003B6820" w:rsidRPr="001A7097">
        <w:rPr>
          <w:b w:val="0"/>
          <w:bCs/>
          <w:u w:val="single"/>
        </w:rPr>
        <w:t xml:space="preserve">6) of Human Rights Act </w:t>
      </w:r>
    </w:p>
    <w:p w14:paraId="48553B99" w14:textId="68EB483B" w:rsidR="00CE2F02" w:rsidRPr="008A435A" w:rsidRDefault="00CE2F02" w:rsidP="00CE2F02">
      <w:pPr>
        <w:pStyle w:val="Boxed1Bullet"/>
      </w:pPr>
      <w:r>
        <w:t>Allow ACAT to exercise the same powers as the</w:t>
      </w:r>
      <w:r w:rsidRPr="008A435A">
        <w:t xml:space="preserve"> Supreme Court</w:t>
      </w:r>
      <w:r>
        <w:t xml:space="preserve"> to </w:t>
      </w:r>
      <w:r w:rsidRPr="008A435A">
        <w:t xml:space="preserve">grant the relief it considers appropriate except damages. </w:t>
      </w:r>
    </w:p>
    <w:p w14:paraId="580405E9" w14:textId="1AC4FB94" w:rsidR="003B6820" w:rsidRPr="001A7097" w:rsidRDefault="003B6820" w:rsidP="001A7097">
      <w:pPr>
        <w:pStyle w:val="Boxed1Bullet"/>
        <w:numPr>
          <w:ilvl w:val="0"/>
          <w:numId w:val="0"/>
        </w:numPr>
        <w:ind w:left="284"/>
        <w:rPr>
          <w:bCs/>
          <w:u w:val="single"/>
        </w:rPr>
      </w:pPr>
      <w:r>
        <w:rPr>
          <w:bCs/>
          <w:u w:val="single"/>
        </w:rPr>
        <w:t>Option 2: Replicate section 53E of the Human Rights Commission Act</w:t>
      </w:r>
    </w:p>
    <w:p w14:paraId="37E249E3" w14:textId="27826E7A" w:rsidR="00CE2F02" w:rsidRPr="008A435A" w:rsidRDefault="00CE2F02" w:rsidP="00CE2F02">
      <w:pPr>
        <w:pStyle w:val="Boxed1Bullet"/>
      </w:pPr>
      <w:r w:rsidRPr="008A435A">
        <w:t xml:space="preserve">Replicate ACAT’s powers to deal with discrimination complaints </w:t>
      </w:r>
      <w:r>
        <w:t>(without damages)</w:t>
      </w:r>
      <w:r w:rsidRPr="008A435A">
        <w:t xml:space="preserve">. </w:t>
      </w:r>
    </w:p>
    <w:p w14:paraId="3868CF98" w14:textId="77777777" w:rsidR="00A64588" w:rsidRDefault="00A64588" w:rsidP="00A552A2">
      <w:pPr>
        <w:keepNext/>
        <w:keepLines/>
        <w:spacing w:before="240" w:after="60"/>
        <w:outlineLvl w:val="3"/>
      </w:pPr>
    </w:p>
    <w:p w14:paraId="6D517B1F" w14:textId="4756C033" w:rsidR="00A64588" w:rsidRDefault="005A1F9A" w:rsidP="001A7097">
      <w:pPr>
        <w:pStyle w:val="Heading2"/>
      </w:pPr>
      <w:bookmarkStart w:id="17" w:name="_Toc199342774"/>
      <w:r>
        <w:t>5</w:t>
      </w:r>
      <w:r w:rsidR="00A64588">
        <w:t>. Reforming “Piggyback” Proceedings</w:t>
      </w:r>
      <w:bookmarkEnd w:id="17"/>
    </w:p>
    <w:p w14:paraId="65069134" w14:textId="19F28CF5" w:rsidR="00DC00D7" w:rsidRDefault="00DC00D7" w:rsidP="00A64588">
      <w:r>
        <w:t xml:space="preserve">One possible consequence of introducing a new ACAT pathway for breaches of human rights is </w:t>
      </w:r>
      <w:r w:rsidR="00A1365B">
        <w:t>that it may create</w:t>
      </w:r>
      <w:r>
        <w:t xml:space="preserve"> an inconsistency between the remedies available </w:t>
      </w:r>
      <w:r w:rsidR="00410AA8">
        <w:t>via the new ACAT pathway</w:t>
      </w:r>
      <w:r>
        <w:t xml:space="preserve"> and </w:t>
      </w:r>
      <w:r w:rsidR="00A1365B">
        <w:t>the remedies available in a “piggyback” matter</w:t>
      </w:r>
      <w:r w:rsidR="00091D3B">
        <w:t xml:space="preserve"> raised in existing </w:t>
      </w:r>
      <w:r w:rsidR="000D382B">
        <w:t xml:space="preserve">court and tribunal </w:t>
      </w:r>
      <w:r w:rsidR="00091D3B">
        <w:t xml:space="preserve">proceedings. </w:t>
      </w:r>
    </w:p>
    <w:p w14:paraId="5D994ADD" w14:textId="495A2220" w:rsidR="008A37EC" w:rsidRDefault="00A64588" w:rsidP="008E75D5">
      <w:pPr>
        <w:widowControl w:val="0"/>
      </w:pPr>
      <w:r>
        <w:t xml:space="preserve">Case law has confirmed that in the ACT, express powers to grant relief </w:t>
      </w:r>
      <w:r w:rsidR="00DC00D7">
        <w:t xml:space="preserve">for breaches of human rights </w:t>
      </w:r>
      <w:r>
        <w:t>are only given to the Supreme Court</w:t>
      </w:r>
      <w:r w:rsidR="00DC00D7">
        <w:t>.</w:t>
      </w:r>
      <w:r>
        <w:t xml:space="preserve"> </w:t>
      </w:r>
      <w:r w:rsidR="00DC00D7">
        <w:t>I</w:t>
      </w:r>
      <w:r>
        <w:t>n “piggyback” matters, other courts or the tribunal must address breaches of the Human Rights Act within the context of their existing powers and processes.</w:t>
      </w:r>
      <w:r w:rsidR="00CE2F02">
        <w:rPr>
          <w:rStyle w:val="FootnoteReference"/>
        </w:rPr>
        <w:footnoteReference w:id="38"/>
      </w:r>
      <w:r>
        <w:t xml:space="preserve"> </w:t>
      </w:r>
    </w:p>
    <w:p w14:paraId="69ED42A1" w14:textId="21DBF9D9" w:rsidR="00A64588" w:rsidRDefault="00A64588" w:rsidP="008E75D5">
      <w:pPr>
        <w:widowControl w:val="0"/>
      </w:pPr>
      <w:r>
        <w:t xml:space="preserve">Therefore, while the other courts and tribunal cannot grant a remedy under the Human Rights Act (including making a declaration that a territory law is not consistent with a human right under section 32) </w:t>
      </w:r>
      <w:r>
        <w:lastRenderedPageBreak/>
        <w:t>they retain their inherent, statutory or common law jurisdictions to grant remedies otherwise available to them</w:t>
      </w:r>
      <w:r w:rsidR="00410AA8">
        <w:t xml:space="preserve"> in the original application</w:t>
      </w:r>
      <w:r>
        <w:t>.</w:t>
      </w:r>
      <w:r w:rsidR="00CE2F02">
        <w:rPr>
          <w:rStyle w:val="FootnoteReference"/>
        </w:rPr>
        <w:footnoteReference w:id="39"/>
      </w:r>
    </w:p>
    <w:p w14:paraId="4E2209C2" w14:textId="6E40E54E" w:rsidR="00A64588" w:rsidRDefault="00A64588" w:rsidP="008E75D5">
      <w:pPr>
        <w:widowControl w:val="0"/>
      </w:pPr>
      <w:r>
        <w:t xml:space="preserve">Some examples of orders that may be made in these types of matters include: </w:t>
      </w:r>
    </w:p>
    <w:p w14:paraId="0ADD2734" w14:textId="2193944B" w:rsidR="00A64588" w:rsidRDefault="00A64588" w:rsidP="008E75D5">
      <w:pPr>
        <w:pStyle w:val="ListParagraph"/>
        <w:widowControl w:val="0"/>
        <w:numPr>
          <w:ilvl w:val="0"/>
          <w:numId w:val="21"/>
        </w:numPr>
      </w:pPr>
      <w:r>
        <w:t>taking a breach of human rights into account in sentencing,</w:t>
      </w:r>
      <w:r w:rsidR="00CE2F02">
        <w:rPr>
          <w:rStyle w:val="FootnoteReference"/>
        </w:rPr>
        <w:footnoteReference w:id="40"/>
      </w:r>
    </w:p>
    <w:p w14:paraId="6135B38E" w14:textId="26177FE3" w:rsidR="00A64588" w:rsidRDefault="00A64588" w:rsidP="008E75D5">
      <w:pPr>
        <w:pStyle w:val="ListParagraph"/>
        <w:widowControl w:val="0"/>
        <w:numPr>
          <w:ilvl w:val="0"/>
          <w:numId w:val="21"/>
        </w:numPr>
      </w:pPr>
      <w:r>
        <w:t>a stay of criminal proceedings where there has been a breach of the right to be tried without reasonable delay,</w:t>
      </w:r>
      <w:r w:rsidR="005D6786">
        <w:rPr>
          <w:rStyle w:val="FootnoteReference"/>
        </w:rPr>
        <w:footnoteReference w:id="41"/>
      </w:r>
      <w:r>
        <w:t xml:space="preserve"> and</w:t>
      </w:r>
    </w:p>
    <w:p w14:paraId="64363B3B" w14:textId="77777777" w:rsidR="00A64588" w:rsidRDefault="00A64588" w:rsidP="008E75D5">
      <w:pPr>
        <w:pStyle w:val="ListParagraph"/>
        <w:widowControl w:val="0"/>
        <w:numPr>
          <w:ilvl w:val="0"/>
          <w:numId w:val="21"/>
        </w:numPr>
      </w:pPr>
      <w:r>
        <w:t>setting aside a decision and substituting a decision in relation to the date of effect of a rent rebate where a person’s right not to have their home arbitrarily interfered with has been breached.</w:t>
      </w:r>
      <w:r>
        <w:rPr>
          <w:rStyle w:val="FootnoteReference"/>
        </w:rPr>
        <w:footnoteReference w:id="42"/>
      </w:r>
    </w:p>
    <w:p w14:paraId="6FED21FC" w14:textId="65A86881" w:rsidR="00091D3B" w:rsidRDefault="002C7D41" w:rsidP="008E75D5">
      <w:pPr>
        <w:widowControl w:val="0"/>
        <w:spacing w:before="240" w:after="60"/>
        <w:outlineLvl w:val="3"/>
      </w:pPr>
      <w:r>
        <w:t>T</w:t>
      </w:r>
      <w:r w:rsidR="00091D3B">
        <w:t>his means that</w:t>
      </w:r>
      <w:r w:rsidR="000D382B">
        <w:t>, for example,</w:t>
      </w:r>
      <w:r w:rsidR="00091D3B">
        <w:t xml:space="preserve"> a person who raises a breach of human rights in the context of an existing ACAT matter may be disadvantaged compared with someone who </w:t>
      </w:r>
      <w:r>
        <w:t>accesses</w:t>
      </w:r>
      <w:r w:rsidR="00091D3B">
        <w:t xml:space="preserve"> the ACAT pathway</w:t>
      </w:r>
      <w:r w:rsidR="00205CEB">
        <w:t>,</w:t>
      </w:r>
      <w:r w:rsidR="00091D3B">
        <w:t xml:space="preserve"> because the</w:t>
      </w:r>
      <w:r w:rsidR="00205CEB">
        <w:t xml:space="preserve"> Tribunal’s jurisdiction and the</w:t>
      </w:r>
      <w:r w:rsidR="00091D3B">
        <w:t xml:space="preserve"> remedies that are available </w:t>
      </w:r>
      <w:r>
        <w:t xml:space="preserve">in a “piggyback” matter </w:t>
      </w:r>
      <w:r w:rsidR="00091D3B">
        <w:t>will be confined to the discretion ACAT has in hearing the original application</w:t>
      </w:r>
      <w:r>
        <w:t xml:space="preserve"> </w:t>
      </w:r>
      <w:r w:rsidR="00205CEB">
        <w:t xml:space="preserve">which may be </w:t>
      </w:r>
      <w:r>
        <w:t>narrower</w:t>
      </w:r>
      <w:r w:rsidR="00091D3B">
        <w:t>.</w:t>
      </w:r>
    </w:p>
    <w:p w14:paraId="37DC64A4" w14:textId="3493DCEA" w:rsidR="00A64588" w:rsidRDefault="00091D3B" w:rsidP="008E75D5">
      <w:pPr>
        <w:widowControl w:val="0"/>
        <w:spacing w:before="240" w:after="60"/>
        <w:outlineLvl w:val="3"/>
      </w:pPr>
      <w:r>
        <w:t>Additionally,</w:t>
      </w:r>
      <w:r w:rsidR="002C7D41">
        <w:t xml:space="preserve"> a person with an existing matter</w:t>
      </w:r>
      <w:r w:rsidR="001A7097">
        <w:t xml:space="preserve"> in ACAT</w:t>
      </w:r>
      <w:r w:rsidR="000D382B">
        <w:t xml:space="preserve"> (or another lesser court)</w:t>
      </w:r>
      <w:r w:rsidR="002C7D41">
        <w:t xml:space="preserve"> may be restricted from having the complaint dealt with by the Commission at all because</w:t>
      </w:r>
      <w:r>
        <w:t xml:space="preserve"> </w:t>
      </w:r>
      <w:r w:rsidR="002C7D41">
        <w:t xml:space="preserve">the Commission must close a complaint under section 78(2)(c)(iii) of the Human Rights Commission Act where the matters raised by the complaint have been, or are being, dealt with by a court or tribunal or have been dealt with by the commission. </w:t>
      </w:r>
    </w:p>
    <w:p w14:paraId="5300A513" w14:textId="0B7897AD" w:rsidR="002C7D41" w:rsidRDefault="002C7D41" w:rsidP="008E75D5">
      <w:pPr>
        <w:widowControl w:val="0"/>
        <w:spacing w:before="240" w:after="60"/>
        <w:outlineLvl w:val="3"/>
      </w:pPr>
      <w:r>
        <w:t xml:space="preserve">This may result </w:t>
      </w:r>
      <w:r w:rsidR="000D382B">
        <w:t>in unfairness and inconsistency in the legal system because the remedies available through a</w:t>
      </w:r>
      <w:r>
        <w:t xml:space="preserve"> “piggyback” matter may be less than</w:t>
      </w:r>
      <w:r w:rsidR="002A534F">
        <w:t xml:space="preserve"> </w:t>
      </w:r>
      <w:r w:rsidR="000D382B">
        <w:t xml:space="preserve">those which </w:t>
      </w:r>
      <w:r w:rsidR="002A534F">
        <w:t xml:space="preserve">may be available </w:t>
      </w:r>
      <w:r>
        <w:t xml:space="preserve">in the ACAT pathway. </w:t>
      </w:r>
    </w:p>
    <w:p w14:paraId="1B831F21" w14:textId="6664EC6C" w:rsidR="003D0E7D" w:rsidRDefault="003D0E7D" w:rsidP="008E75D5">
      <w:pPr>
        <w:widowControl w:val="0"/>
        <w:spacing w:before="240" w:after="60"/>
        <w:outlineLvl w:val="3"/>
      </w:pPr>
      <w:r>
        <w:t>A</w:t>
      </w:r>
      <w:r w:rsidR="002538F8">
        <w:t>n</w:t>
      </w:r>
      <w:r>
        <w:t xml:space="preserve"> amendment to section 40C(2)(b) </w:t>
      </w:r>
      <w:r w:rsidR="002538F8">
        <w:t xml:space="preserve">could provide that a person may raise a breach of the HRA in a </w:t>
      </w:r>
      <w:r w:rsidR="000D382B">
        <w:t xml:space="preserve">court or tribunal </w:t>
      </w:r>
      <w:r w:rsidR="002538F8">
        <w:t xml:space="preserve">application brought under another statute, regardless of the terms of that other statute and whether or not the claim under it succeeds, similarly to the position in Victoria and Queensland. </w:t>
      </w:r>
    </w:p>
    <w:p w14:paraId="46C5F997" w14:textId="6846F716" w:rsidR="002538F8" w:rsidRDefault="002538F8" w:rsidP="008E75D5">
      <w:pPr>
        <w:widowControl w:val="0"/>
        <w:spacing w:before="240" w:after="60"/>
        <w:outlineLvl w:val="3"/>
      </w:pPr>
      <w:r>
        <w:t xml:space="preserve">This would still mean that a person could not bring an application in </w:t>
      </w:r>
      <w:r w:rsidR="000D382B">
        <w:t xml:space="preserve">a lesser court or tribunal </w:t>
      </w:r>
      <w:r>
        <w:t>on human rights grounds alone, without first making a complaint to the Commission (i.e. via the new pathway)</w:t>
      </w:r>
      <w:r w:rsidR="000D382B">
        <w:t>, but would ensure that the outcomes that may be achieved in “piggyback” matters are consistent with those that are available via the ACAT pathway</w:t>
      </w:r>
      <w:r>
        <w:t>.</w:t>
      </w:r>
    </w:p>
    <w:p w14:paraId="60C304C2" w14:textId="77777777" w:rsidR="008A37EC" w:rsidRDefault="008A37EC" w:rsidP="00A64588">
      <w:pPr>
        <w:keepNext/>
        <w:keepLines/>
        <w:spacing w:before="240" w:after="60"/>
        <w:outlineLvl w:val="3"/>
      </w:pPr>
    </w:p>
    <w:p w14:paraId="43EA0871" w14:textId="2B512534" w:rsidR="008A37EC" w:rsidRDefault="008A37EC" w:rsidP="008A37EC">
      <w:pPr>
        <w:pStyle w:val="Boxed1Heading"/>
      </w:pPr>
      <w:r>
        <w:t>CONSULTATION QUESTION 3</w:t>
      </w:r>
    </w:p>
    <w:p w14:paraId="4EEBBE64" w14:textId="77777777" w:rsidR="008F0F2C" w:rsidRDefault="008F0F2C" w:rsidP="008F0F2C">
      <w:pPr>
        <w:pStyle w:val="Boxed1Heading"/>
        <w:rPr>
          <w:color w:val="7030A0"/>
          <w:sz w:val="28"/>
          <w:szCs w:val="28"/>
        </w:rPr>
      </w:pPr>
      <w:r w:rsidRPr="00124A11">
        <w:rPr>
          <w:color w:val="7030A0"/>
          <w:sz w:val="28"/>
          <w:szCs w:val="28"/>
        </w:rPr>
        <w:t xml:space="preserve">How should human rights breaches be </w:t>
      </w:r>
      <w:r>
        <w:rPr>
          <w:color w:val="7030A0"/>
          <w:sz w:val="28"/>
          <w:szCs w:val="28"/>
        </w:rPr>
        <w:t>dealt with</w:t>
      </w:r>
      <w:r w:rsidRPr="00124A11">
        <w:rPr>
          <w:color w:val="7030A0"/>
          <w:sz w:val="28"/>
          <w:szCs w:val="28"/>
        </w:rPr>
        <w:t xml:space="preserve"> if they are raised in other proceedings</w:t>
      </w:r>
      <w:r>
        <w:rPr>
          <w:color w:val="7030A0"/>
          <w:sz w:val="28"/>
          <w:szCs w:val="28"/>
        </w:rPr>
        <w:t xml:space="preserve"> </w:t>
      </w:r>
      <w:r>
        <w:rPr>
          <w:bCs/>
          <w:color w:val="7030A0"/>
          <w:sz w:val="28"/>
          <w:szCs w:val="28"/>
        </w:rPr>
        <w:t>(</w:t>
      </w:r>
      <w:r w:rsidRPr="00CB5507">
        <w:rPr>
          <w:bCs/>
          <w:color w:val="7030A0"/>
          <w:sz w:val="28"/>
          <w:szCs w:val="28"/>
        </w:rPr>
        <w:t>‘piggyback’ claims)</w:t>
      </w:r>
      <w:r w:rsidRPr="00CB5507">
        <w:rPr>
          <w:color w:val="7030A0"/>
          <w:sz w:val="28"/>
          <w:szCs w:val="28"/>
        </w:rPr>
        <w:t>?</w:t>
      </w:r>
    </w:p>
    <w:p w14:paraId="428FAF24" w14:textId="58688BA9" w:rsidR="008F0F2C" w:rsidRDefault="008F0F2C" w:rsidP="008F0F2C">
      <w:pPr>
        <w:pStyle w:val="Boxed1Bullet"/>
        <w:numPr>
          <w:ilvl w:val="0"/>
          <w:numId w:val="0"/>
        </w:numPr>
        <w:ind w:left="567" w:hanging="283"/>
        <w:rPr>
          <w:b/>
          <w:bCs/>
        </w:rPr>
      </w:pPr>
      <w:r>
        <w:rPr>
          <w:b/>
          <w:bCs/>
        </w:rPr>
        <w:t>How should human rights breaches be dealt with if they are raised in other proceedings (‘piggyback’ claims)?</w:t>
      </w:r>
    </w:p>
    <w:p w14:paraId="44F3D80C" w14:textId="38B7BB64" w:rsidR="008F0F2C" w:rsidRPr="00EB0F8C" w:rsidRDefault="008F0F2C" w:rsidP="008F0F2C">
      <w:pPr>
        <w:pStyle w:val="Boxed1Bullet"/>
        <w:numPr>
          <w:ilvl w:val="0"/>
          <w:numId w:val="0"/>
        </w:numPr>
        <w:ind w:left="567" w:hanging="283"/>
        <w:rPr>
          <w:u w:val="single"/>
        </w:rPr>
      </w:pPr>
      <w:r w:rsidRPr="00EB0F8C">
        <w:rPr>
          <w:u w:val="single"/>
        </w:rPr>
        <w:t xml:space="preserve">Option 1: Amend the Human Rights Act to provide that the ACAT and lower Courts can consider and grant relief for breaches of human rights </w:t>
      </w:r>
      <w:r>
        <w:rPr>
          <w:u w:val="single"/>
        </w:rPr>
        <w:t>that are</w:t>
      </w:r>
      <w:r w:rsidRPr="00EB0F8C">
        <w:rPr>
          <w:u w:val="single"/>
        </w:rPr>
        <w:t xml:space="preserve"> raised in other proceedings </w:t>
      </w:r>
    </w:p>
    <w:p w14:paraId="59B41668" w14:textId="77777777" w:rsidR="008F0F2C" w:rsidRPr="00CB5507" w:rsidRDefault="008F0F2C" w:rsidP="008F0F2C">
      <w:pPr>
        <w:pStyle w:val="Boxed1Bullet"/>
      </w:pPr>
      <w:r w:rsidRPr="005D713B">
        <w:t xml:space="preserve">This would allow the ACAT and </w:t>
      </w:r>
      <w:r>
        <w:t>lower</w:t>
      </w:r>
      <w:r w:rsidRPr="005D713B">
        <w:t xml:space="preserve"> </w:t>
      </w:r>
      <w:r>
        <w:t>C</w:t>
      </w:r>
      <w:r w:rsidRPr="005D713B">
        <w:t>ourts to order a wider range of remedies</w:t>
      </w:r>
      <w:r>
        <w:t xml:space="preserve"> where human rights breaches are raised as part of other proceedings.</w:t>
      </w:r>
    </w:p>
    <w:p w14:paraId="6CCC69A6" w14:textId="77777777" w:rsidR="008F0F2C" w:rsidRPr="00EB0F8C" w:rsidRDefault="008F0F2C" w:rsidP="008F0F2C">
      <w:pPr>
        <w:pStyle w:val="Boxed1Heading"/>
        <w:rPr>
          <w:b w:val="0"/>
          <w:szCs w:val="22"/>
          <w:u w:val="single"/>
        </w:rPr>
      </w:pPr>
      <w:r w:rsidRPr="00EB0F8C">
        <w:rPr>
          <w:b w:val="0"/>
          <w:szCs w:val="22"/>
          <w:u w:val="single"/>
        </w:rPr>
        <w:t>Option 2: No change</w:t>
      </w:r>
    </w:p>
    <w:p w14:paraId="78FDE549" w14:textId="77777777" w:rsidR="008F0F2C" w:rsidRPr="005D713B" w:rsidRDefault="008F0F2C" w:rsidP="008F0F2C">
      <w:pPr>
        <w:pStyle w:val="Boxed1Bullet"/>
      </w:pPr>
      <w:r w:rsidRPr="005D713B">
        <w:t>Th</w:t>
      </w:r>
      <w:r>
        <w:t>ere would continue to be limited remedies available for human rights breaches raised in other proceedings.</w:t>
      </w:r>
    </w:p>
    <w:p w14:paraId="761EE11F" w14:textId="2659427A" w:rsidR="008A37EC" w:rsidRDefault="008A37EC" w:rsidP="008F0F2C">
      <w:pPr>
        <w:pStyle w:val="Boxed1Heading"/>
      </w:pPr>
    </w:p>
    <w:sectPr w:rsidR="008A37EC" w:rsidSect="00E73021">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E189" w14:textId="77777777" w:rsidR="001B3E71" w:rsidRDefault="001B3E71">
      <w:pPr>
        <w:spacing w:before="0" w:after="0"/>
      </w:pPr>
      <w:r>
        <w:separator/>
      </w:r>
    </w:p>
    <w:p w14:paraId="797F310A" w14:textId="77777777" w:rsidR="001B3E71" w:rsidRDefault="001B3E71"/>
  </w:endnote>
  <w:endnote w:type="continuationSeparator" w:id="0">
    <w:p w14:paraId="6E4A8275" w14:textId="77777777" w:rsidR="001B3E71" w:rsidRDefault="001B3E71">
      <w:pPr>
        <w:spacing w:before="0" w:after="0"/>
      </w:pPr>
      <w:r>
        <w:continuationSeparator/>
      </w:r>
    </w:p>
    <w:p w14:paraId="3B7BC687" w14:textId="77777777" w:rsidR="001B3E71" w:rsidRDefault="001B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740C14EE"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6D2E6290"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3"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EB5F79">
      <w:rPr>
        <w:noProof/>
      </w:rPr>
      <w:t>Justice and Community Safety Directorate</w:t>
    </w:r>
    <w:r w:rsidR="0062148A">
      <w:rPr>
        <w:noProof/>
      </w:rPr>
      <w:tab/>
    </w:r>
    <w:r w:rsidR="004D749A">
      <w:rPr>
        <w:noProof/>
      </w:rPr>
      <w:tab/>
    </w:r>
    <w:r w:rsidR="004D749A">
      <w:rPr>
        <w:noProof/>
      </w:rPr>
      <w:tab/>
      <w:t xml:space="preserve"> </w:t>
    </w:r>
    <w:r w:rsidR="004D749A">
      <w:rPr>
        <w:noProof/>
      </w:rPr>
      <w:tab/>
    </w:r>
    <w:r w:rsidR="00EB6BD4">
      <w:rPr>
        <w:b/>
      </w:rPr>
      <w:t>TRIBUNAL PATHWAY FOR HUMAN RIGHTS COMPLAINTS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D1EC" w14:textId="77777777" w:rsidR="001B3E71" w:rsidRDefault="001B3E71" w:rsidP="001723F7">
      <w:pPr>
        <w:spacing w:before="0" w:after="0"/>
      </w:pPr>
      <w:r>
        <w:separator/>
      </w:r>
    </w:p>
  </w:footnote>
  <w:footnote w:type="continuationSeparator" w:id="0">
    <w:p w14:paraId="2EAF9C35" w14:textId="77777777" w:rsidR="001B3E71" w:rsidRDefault="001B3E71">
      <w:pPr>
        <w:spacing w:before="0" w:after="0"/>
      </w:pPr>
      <w:r>
        <w:continuationSeparator/>
      </w:r>
    </w:p>
    <w:p w14:paraId="22086616" w14:textId="77777777" w:rsidR="001B3E71" w:rsidRDefault="001B3E71"/>
  </w:footnote>
  <w:footnote w:id="1">
    <w:p w14:paraId="45C6E0BE" w14:textId="3E160905" w:rsidR="00C05DD6" w:rsidRDefault="00C05DD6" w:rsidP="00C05DD6">
      <w:pPr>
        <w:pStyle w:val="FootnoteText"/>
      </w:pPr>
      <w:r>
        <w:rPr>
          <w:rStyle w:val="FootnoteReference"/>
        </w:rPr>
        <w:footnoteRef/>
      </w:r>
      <w:r w:rsidR="00F87376">
        <w:t>ACT Legislative Assembly Closed ePetitions</w:t>
      </w:r>
      <w:r>
        <w:t xml:space="preserve"> </w:t>
      </w:r>
      <w:r w:rsidR="00F87376">
        <w:t>&lt;</w:t>
      </w:r>
      <w:hyperlink r:id="rId1" w:history="1">
        <w:r w:rsidR="00F87376" w:rsidRPr="00F87376">
          <w:rPr>
            <w:rStyle w:val="Hyperlink"/>
          </w:rPr>
          <w:t>https://epetitions.parliament.act.gov.au/details/032-21</w:t>
        </w:r>
      </w:hyperlink>
      <w:r w:rsidR="00F87376">
        <w:t>&gt;</w:t>
      </w:r>
      <w:r>
        <w:t xml:space="preserve">. </w:t>
      </w:r>
    </w:p>
  </w:footnote>
  <w:footnote w:id="2">
    <w:p w14:paraId="43E9E5FF" w14:textId="2CB3EFAA" w:rsidR="006D5355" w:rsidRDefault="006D5355" w:rsidP="006D5355">
      <w:pPr>
        <w:pStyle w:val="FootnoteText"/>
      </w:pPr>
      <w:r>
        <w:rPr>
          <w:rStyle w:val="FootnoteReference"/>
        </w:rPr>
        <w:footnoteRef/>
      </w:r>
      <w:r>
        <w:t xml:space="preserve"> </w:t>
      </w:r>
      <w:r w:rsidR="00F87376">
        <w:t xml:space="preserve">Standing Committee on Justice and Community Safety of the Tenth Assembly, ACT Legislative Assembly, </w:t>
      </w:r>
      <w:r w:rsidR="00F87376">
        <w:rPr>
          <w:i/>
          <w:iCs/>
        </w:rPr>
        <w:t xml:space="preserve">07. Inquiry into Petition 32-21 (No Rights Without Remedy) </w:t>
      </w:r>
      <w:r w:rsidR="00F87376">
        <w:t>(</w:t>
      </w:r>
      <w:bookmarkStart w:id="5" w:name="_Hlk199343905"/>
      <w:r w:rsidR="002357BE">
        <w:fldChar w:fldCharType="begin"/>
      </w:r>
      <w:r w:rsidR="002357BE">
        <w:instrText>HYPERLINK "https://www.parliament.act.gov.au/__data/assets/pdf_file/0006/2023764/JCS-Report-7-Report-into-the-Inquiry-into-Petition-32-21-No-Rights-Without-Remedy.pdf"</w:instrText>
      </w:r>
      <w:r w:rsidR="002357BE">
        <w:fldChar w:fldCharType="separate"/>
      </w:r>
      <w:r w:rsidR="00F87376" w:rsidRPr="002357BE">
        <w:rPr>
          <w:rStyle w:val="Hyperlink"/>
        </w:rPr>
        <w:t>Report 7 – Report into the Inquiry into Petition 32-21 (No Rights Without Remedy), June 2022</w:t>
      </w:r>
      <w:r w:rsidR="002357BE">
        <w:fldChar w:fldCharType="end"/>
      </w:r>
      <w:bookmarkEnd w:id="5"/>
      <w:r w:rsidR="00F87376">
        <w:t>)</w:t>
      </w:r>
      <w:r w:rsidR="00B7173B">
        <w:t>.</w:t>
      </w:r>
    </w:p>
  </w:footnote>
  <w:footnote w:id="3">
    <w:p w14:paraId="3DB5741F" w14:textId="33D3B9C7" w:rsidR="006D5355" w:rsidRDefault="006D5355" w:rsidP="006D5355">
      <w:pPr>
        <w:pStyle w:val="FootnoteText"/>
      </w:pPr>
      <w:r>
        <w:rPr>
          <w:rStyle w:val="FootnoteReference"/>
        </w:rPr>
        <w:footnoteRef/>
      </w:r>
      <w:r w:rsidR="00B7173B">
        <w:t xml:space="preserve">ACT Government, </w:t>
      </w:r>
      <w:bookmarkStart w:id="6" w:name="_Hlk199344037"/>
      <w:r w:rsidR="002357BE">
        <w:rPr>
          <w:i/>
          <w:iCs/>
        </w:rPr>
        <w:fldChar w:fldCharType="begin"/>
      </w:r>
      <w:r w:rsidR="002357BE">
        <w:rPr>
          <w:i/>
          <w:iCs/>
        </w:rPr>
        <w:instrText>HYPERLINK "https://www.parliament.act.gov.au/__data/assets/pdf_file/0005/2155487/JCS-07-Inquiry-into-Petition-32-21-No-Rights-Without-Remedy-Revised-Government-Response-tabled-22-November-2022.pdf"</w:instrText>
      </w:r>
      <w:r w:rsidR="002357BE">
        <w:rPr>
          <w:i/>
          <w:iCs/>
        </w:rPr>
      </w:r>
      <w:r w:rsidR="002357BE">
        <w:rPr>
          <w:i/>
          <w:iCs/>
        </w:rPr>
        <w:fldChar w:fldCharType="separate"/>
      </w:r>
      <w:r w:rsidR="00B7173B" w:rsidRPr="002357BE">
        <w:rPr>
          <w:rStyle w:val="Hyperlink"/>
          <w:i/>
          <w:iCs/>
        </w:rPr>
        <w:t>Revised Government Response to Report No. 7 of the Standing Committee on Justice and Community Safety – Report into the Inquiry into Petition 32-21 (No Rights Without Remedy)</w:t>
      </w:r>
      <w:r w:rsidR="002357BE">
        <w:rPr>
          <w:i/>
          <w:iCs/>
        </w:rPr>
        <w:fldChar w:fldCharType="end"/>
      </w:r>
      <w:bookmarkEnd w:id="6"/>
      <w:r w:rsidR="00B7173B">
        <w:rPr>
          <w:i/>
          <w:iCs/>
        </w:rPr>
        <w:t xml:space="preserve"> </w:t>
      </w:r>
      <w:r w:rsidR="00B7173B">
        <w:t xml:space="preserve">(October 2022). </w:t>
      </w:r>
    </w:p>
  </w:footnote>
  <w:footnote w:id="4">
    <w:p w14:paraId="142D5148" w14:textId="0BEE2B6E" w:rsidR="00244F84" w:rsidRPr="00244F84" w:rsidRDefault="00244F84">
      <w:pPr>
        <w:pStyle w:val="FootnoteText"/>
      </w:pPr>
      <w:r>
        <w:rPr>
          <w:rStyle w:val="FootnoteReference"/>
        </w:rPr>
        <w:footnoteRef/>
      </w:r>
      <w:r>
        <w:t xml:space="preserve"> </w:t>
      </w:r>
      <w:hyperlink r:id="rId2" w:history="1">
        <w:r w:rsidRPr="00354224">
          <w:rPr>
            <w:rStyle w:val="Hyperlink"/>
            <w:i/>
            <w:iCs/>
          </w:rPr>
          <w:t>Human Rights Commission Act 2005</w:t>
        </w:r>
      </w:hyperlink>
      <w:r w:rsidR="00354224">
        <w:rPr>
          <w:i/>
          <w:iCs/>
        </w:rPr>
        <w:t xml:space="preserve"> </w:t>
      </w:r>
      <w:r w:rsidR="00354224">
        <w:t>(ACT) s 41D</w:t>
      </w:r>
      <w:r>
        <w:t xml:space="preserve">. </w:t>
      </w:r>
    </w:p>
  </w:footnote>
  <w:footnote w:id="5">
    <w:p w14:paraId="3AEA659C" w14:textId="6CC3ABA1" w:rsidR="000F5E00" w:rsidRPr="004E2317" w:rsidRDefault="000F5E00">
      <w:pPr>
        <w:pStyle w:val="FootnoteText"/>
      </w:pPr>
      <w:r>
        <w:rPr>
          <w:rStyle w:val="FootnoteReference"/>
        </w:rPr>
        <w:footnoteRef/>
      </w:r>
      <w:r>
        <w:t xml:space="preserve"> </w:t>
      </w:r>
      <w:r w:rsidR="00354224">
        <w:t xml:space="preserve">Ibid s </w:t>
      </w:r>
      <w:r>
        <w:t>41D(</w:t>
      </w:r>
      <w:r w:rsidR="004E2317">
        <w:t>2)</w:t>
      </w:r>
      <w:r w:rsidR="00354224">
        <w:t>.</w:t>
      </w:r>
      <w:r w:rsidR="004E2317">
        <w:t xml:space="preserve"> </w:t>
      </w:r>
    </w:p>
  </w:footnote>
  <w:footnote w:id="6">
    <w:p w14:paraId="5DC1A374" w14:textId="633A45BE" w:rsidR="00F90BB9" w:rsidRDefault="00F90BB9">
      <w:pPr>
        <w:pStyle w:val="FootnoteText"/>
      </w:pPr>
      <w:r>
        <w:rPr>
          <w:rStyle w:val="FootnoteReference"/>
        </w:rPr>
        <w:footnoteRef/>
      </w:r>
      <w:r>
        <w:t xml:space="preserve"> </w:t>
      </w:r>
      <w:r w:rsidR="00144FCD">
        <w:t xml:space="preserve">Ibid s </w:t>
      </w:r>
      <w:r>
        <w:t>41D(3)</w:t>
      </w:r>
      <w:r w:rsidR="00144FCD">
        <w:t>.</w:t>
      </w:r>
      <w:r>
        <w:t xml:space="preserve"> </w:t>
      </w:r>
    </w:p>
  </w:footnote>
  <w:footnote w:id="7">
    <w:p w14:paraId="3CEDA3EF" w14:textId="56A3DEBC" w:rsidR="00E82093" w:rsidRPr="005B3383" w:rsidRDefault="00E82093" w:rsidP="00E82093">
      <w:pPr>
        <w:pStyle w:val="FootnoteText"/>
      </w:pPr>
      <w:r>
        <w:rPr>
          <w:rStyle w:val="FootnoteReference"/>
        </w:rPr>
        <w:footnoteRef/>
      </w:r>
      <w:r>
        <w:t xml:space="preserve"> </w:t>
      </w:r>
      <w:hyperlink r:id="rId3" w:history="1">
        <w:r w:rsidRPr="002357BE">
          <w:rPr>
            <w:rStyle w:val="Hyperlink"/>
            <w:i/>
            <w:iCs/>
          </w:rPr>
          <w:t>Human Rights Act 2019</w:t>
        </w:r>
      </w:hyperlink>
      <w:r>
        <w:rPr>
          <w:i/>
          <w:iCs/>
        </w:rPr>
        <w:t xml:space="preserve"> </w:t>
      </w:r>
      <w:r>
        <w:t>(Qld)</w:t>
      </w:r>
      <w:r w:rsidR="002357BE">
        <w:t xml:space="preserve"> s 61</w:t>
      </w:r>
      <w:r>
        <w:t xml:space="preserve">. </w:t>
      </w:r>
    </w:p>
  </w:footnote>
  <w:footnote w:id="8">
    <w:p w14:paraId="670AE15D" w14:textId="40B35D19" w:rsidR="00BB2057" w:rsidRPr="007D0775" w:rsidRDefault="00BB2057" w:rsidP="00BB2057">
      <w:pPr>
        <w:pStyle w:val="FootnoteText"/>
      </w:pPr>
      <w:r>
        <w:rPr>
          <w:rStyle w:val="FootnoteReference"/>
        </w:rPr>
        <w:footnoteRef/>
      </w:r>
      <w:r>
        <w:t xml:space="preserve"> </w:t>
      </w:r>
      <w:hyperlink r:id="rId4" w:history="1">
        <w:r w:rsidRPr="004E2548">
          <w:rPr>
            <w:rStyle w:val="Hyperlink"/>
            <w:i/>
            <w:iCs/>
          </w:rPr>
          <w:t>Human Rights Commission Act 2005</w:t>
        </w:r>
      </w:hyperlink>
      <w:r w:rsidR="004E2548">
        <w:rPr>
          <w:i/>
          <w:iCs/>
        </w:rPr>
        <w:t xml:space="preserve"> </w:t>
      </w:r>
      <w:r w:rsidR="004E2548">
        <w:t>(ACT), s 42</w:t>
      </w:r>
      <w:r>
        <w:t xml:space="preserve">. </w:t>
      </w:r>
    </w:p>
  </w:footnote>
  <w:footnote w:id="9">
    <w:p w14:paraId="2774A38C" w14:textId="65F18CE9" w:rsidR="00BB2057" w:rsidRDefault="00BB2057" w:rsidP="00BB2057">
      <w:pPr>
        <w:pStyle w:val="FootnoteText"/>
      </w:pPr>
      <w:r>
        <w:rPr>
          <w:rStyle w:val="FootnoteReference"/>
        </w:rPr>
        <w:footnoteRef/>
      </w:r>
      <w:r>
        <w:t xml:space="preserve"> The requirement to provide a referral statement where the Commission has closed a discrimination complaint does not apply where the parties have made a conciliation </w:t>
      </w:r>
      <w:r w:rsidR="004E2548">
        <w:t>agreement in relation to the complaint</w:t>
      </w:r>
      <w:r>
        <w:t>, the complaint has otherwise been resolved</w:t>
      </w:r>
      <w:r w:rsidR="004E2548">
        <w:t xml:space="preserve"> to the Commission’s satisfaction</w:t>
      </w:r>
      <w:r>
        <w:t xml:space="preserve">, the complainant </w:t>
      </w:r>
      <w:r w:rsidR="004E2548">
        <w:t xml:space="preserve">has </w:t>
      </w:r>
      <w:r>
        <w:t>withdr</w:t>
      </w:r>
      <w:r w:rsidR="004E2548">
        <w:t>a</w:t>
      </w:r>
      <w:r>
        <w:t>w</w:t>
      </w:r>
      <w:r w:rsidR="004E2548">
        <w:t>n</w:t>
      </w:r>
      <w:r>
        <w:t xml:space="preserve"> the complaint or the complaint has been closed due to the complainant’s failure to take reasonable steps to resolve it (</w:t>
      </w:r>
      <w:hyperlink r:id="rId5" w:history="1">
        <w:r w:rsidR="004E2548" w:rsidRPr="008A37EC">
          <w:rPr>
            <w:rStyle w:val="Hyperlink"/>
            <w:i/>
            <w:iCs/>
          </w:rPr>
          <w:t>Human Rights Commission Act 2005</w:t>
        </w:r>
      </w:hyperlink>
      <w:r w:rsidR="004E2548">
        <w:rPr>
          <w:i/>
          <w:iCs/>
        </w:rPr>
        <w:t xml:space="preserve"> </w:t>
      </w:r>
      <w:r w:rsidR="004E2548">
        <w:t xml:space="preserve">(ACT), </w:t>
      </w:r>
      <w:r>
        <w:t xml:space="preserve">s 82(2)). </w:t>
      </w:r>
    </w:p>
  </w:footnote>
  <w:footnote w:id="10">
    <w:p w14:paraId="28212067" w14:textId="6371D2F9" w:rsidR="007F3111" w:rsidRDefault="007F3111">
      <w:pPr>
        <w:pStyle w:val="FootnoteText"/>
      </w:pPr>
      <w:r>
        <w:rPr>
          <w:rStyle w:val="FootnoteReference"/>
        </w:rPr>
        <w:footnoteRef/>
      </w:r>
      <w:r>
        <w:t xml:space="preserve"> </w:t>
      </w:r>
      <w:hyperlink r:id="rId6" w:history="1">
        <w:r w:rsidRPr="008A37EC">
          <w:rPr>
            <w:rStyle w:val="Hyperlink"/>
            <w:i/>
            <w:iCs/>
          </w:rPr>
          <w:t>Human Rights Act 2004</w:t>
        </w:r>
      </w:hyperlink>
      <w:r w:rsidR="004E2548">
        <w:rPr>
          <w:i/>
          <w:iCs/>
        </w:rPr>
        <w:t xml:space="preserve"> </w:t>
      </w:r>
      <w:r w:rsidR="004E2548" w:rsidRPr="00CE2F02">
        <w:t>(ACT)</w:t>
      </w:r>
      <w:r w:rsidR="004E2548">
        <w:t>, s 40C(2)(b)</w:t>
      </w:r>
      <w:r>
        <w:t>.</w:t>
      </w:r>
    </w:p>
  </w:footnote>
  <w:footnote w:id="11">
    <w:p w14:paraId="7024619E" w14:textId="0939F348" w:rsidR="005A1908" w:rsidRDefault="005A1908">
      <w:pPr>
        <w:pStyle w:val="FootnoteText"/>
      </w:pPr>
      <w:r>
        <w:rPr>
          <w:rStyle w:val="FootnoteReference"/>
        </w:rPr>
        <w:footnoteRef/>
      </w:r>
      <w:r>
        <w:t xml:space="preserve"> </w:t>
      </w:r>
      <w:hyperlink r:id="rId7" w:history="1">
        <w:r w:rsidRPr="00CE2F02">
          <w:rPr>
            <w:rStyle w:val="Hyperlink"/>
            <w:i/>
            <w:iCs/>
          </w:rPr>
          <w:t>Commissioner for Social Housing v Cook (Residential Tenancies)</w:t>
        </w:r>
      </w:hyperlink>
      <w:r>
        <w:t xml:space="preserve"> [2020] ACAT 36</w:t>
      </w:r>
      <w:r w:rsidR="00562092">
        <w:t>.</w:t>
      </w:r>
      <w:r w:rsidR="004E2548">
        <w:t xml:space="preserve"> </w:t>
      </w:r>
    </w:p>
  </w:footnote>
  <w:footnote w:id="12">
    <w:p w14:paraId="53E383AA" w14:textId="2E5EF32B" w:rsidR="00981D8D" w:rsidRDefault="00981D8D">
      <w:pPr>
        <w:pStyle w:val="FootnoteText"/>
      </w:pPr>
      <w:r>
        <w:rPr>
          <w:rStyle w:val="FootnoteReference"/>
        </w:rPr>
        <w:footnoteRef/>
      </w:r>
      <w:r>
        <w:t xml:space="preserve"> </w:t>
      </w:r>
      <w:hyperlink r:id="rId8" w:history="1">
        <w:r w:rsidR="00CC33E4" w:rsidRPr="00CC33E4">
          <w:rPr>
            <w:rStyle w:val="Hyperlink"/>
            <w:i/>
            <w:iCs/>
          </w:rPr>
          <w:t>Applicant DT62023 v Canberra Institution of Technology</w:t>
        </w:r>
      </w:hyperlink>
      <w:r w:rsidR="00CC33E4">
        <w:rPr>
          <w:i/>
          <w:iCs/>
        </w:rPr>
        <w:t xml:space="preserve"> </w:t>
      </w:r>
      <w:r w:rsidR="00CC33E4">
        <w:t>[2024] ACAT 30.</w:t>
      </w:r>
      <w:r>
        <w:t xml:space="preserve"> </w:t>
      </w:r>
    </w:p>
  </w:footnote>
  <w:footnote w:id="13">
    <w:p w14:paraId="510BC7C4" w14:textId="551BA157" w:rsidR="0090471C" w:rsidRDefault="0090471C" w:rsidP="0090471C">
      <w:pPr>
        <w:pStyle w:val="FootnoteText"/>
      </w:pPr>
      <w:r>
        <w:rPr>
          <w:rStyle w:val="FootnoteReference"/>
        </w:rPr>
        <w:footnoteRef/>
      </w:r>
      <w:r>
        <w:t xml:space="preserve"> </w:t>
      </w:r>
      <w:hyperlink r:id="rId9" w:history="1">
        <w:r w:rsidRPr="00CE2F02">
          <w:rPr>
            <w:rStyle w:val="Hyperlink"/>
            <w:i/>
            <w:iCs/>
          </w:rPr>
          <w:t>Goode v Common Equity Housing</w:t>
        </w:r>
      </w:hyperlink>
      <w:r w:rsidR="00CC33E4">
        <w:t xml:space="preserve"> [2014] VSC 585.</w:t>
      </w:r>
    </w:p>
  </w:footnote>
  <w:footnote w:id="14">
    <w:p w14:paraId="4BFB87DD" w14:textId="1C432A9A" w:rsidR="0090471C" w:rsidRDefault="0090471C" w:rsidP="0090471C">
      <w:pPr>
        <w:pStyle w:val="FootnoteText"/>
      </w:pPr>
      <w:r>
        <w:rPr>
          <w:rStyle w:val="FootnoteReference"/>
        </w:rPr>
        <w:footnoteRef/>
      </w:r>
      <w:r>
        <w:t xml:space="preserve"> </w:t>
      </w:r>
      <w:hyperlink r:id="rId10" w:history="1">
        <w:r w:rsidR="00CC33E4" w:rsidRPr="00CC33E4">
          <w:rPr>
            <w:rStyle w:val="Hyperlink"/>
            <w:i/>
            <w:iCs/>
          </w:rPr>
          <w:t>Applicant DT62023 v Canberra Institution of Technology</w:t>
        </w:r>
      </w:hyperlink>
      <w:r w:rsidR="00CC33E4">
        <w:rPr>
          <w:i/>
          <w:iCs/>
        </w:rPr>
        <w:t xml:space="preserve"> </w:t>
      </w:r>
      <w:r w:rsidR="00CC33E4">
        <w:t>[2024] ACAT 30.</w:t>
      </w:r>
    </w:p>
  </w:footnote>
  <w:footnote w:id="15">
    <w:p w14:paraId="5CF98751" w14:textId="56F9F959" w:rsidR="00A53608" w:rsidRDefault="00A53608" w:rsidP="00A53608">
      <w:pPr>
        <w:pStyle w:val="FootnoteText"/>
      </w:pPr>
      <w:r>
        <w:rPr>
          <w:rStyle w:val="FootnoteReference"/>
        </w:rPr>
        <w:footnoteRef/>
      </w:r>
      <w:r>
        <w:t xml:space="preserve"> </w:t>
      </w:r>
      <w:r w:rsidR="000535B2">
        <w:t xml:space="preserve">Yoorrook Justice Commission, </w:t>
      </w:r>
      <w:hyperlink r:id="rId11" w:history="1">
        <w:r w:rsidR="000535B2" w:rsidRPr="000535B2">
          <w:rPr>
            <w:rStyle w:val="Hyperlink"/>
            <w:i/>
            <w:iCs/>
          </w:rPr>
          <w:t>Report into Victoria’s Child Protection and Criminal Justice Systems</w:t>
        </w:r>
      </w:hyperlink>
      <w:r w:rsidR="000535B2">
        <w:t>, (Report, August 2023)</w:t>
      </w:r>
      <w:r>
        <w:t xml:space="preserve"> 99. </w:t>
      </w:r>
    </w:p>
  </w:footnote>
  <w:footnote w:id="16">
    <w:p w14:paraId="6BC910F4" w14:textId="19419895" w:rsidR="00A53608" w:rsidRDefault="00A53608" w:rsidP="00A53608">
      <w:pPr>
        <w:pStyle w:val="FootnoteText"/>
      </w:pPr>
      <w:r>
        <w:rPr>
          <w:rStyle w:val="FootnoteReference"/>
        </w:rPr>
        <w:footnoteRef/>
      </w:r>
      <w:r>
        <w:t xml:space="preserve"> </w:t>
      </w:r>
      <w:r w:rsidR="000535B2">
        <w:t xml:space="preserve">Victorian Government, </w:t>
      </w:r>
      <w:hyperlink r:id="rId12" w:history="1">
        <w:r w:rsidR="000535B2" w:rsidRPr="000535B2">
          <w:rPr>
            <w:rStyle w:val="Hyperlink"/>
            <w:i/>
            <w:iCs/>
          </w:rPr>
          <w:t xml:space="preserve">Victorian Government Response to the </w:t>
        </w:r>
        <w:r w:rsidR="000535B2" w:rsidRPr="000535B2">
          <w:rPr>
            <w:rStyle w:val="Hyperlink"/>
          </w:rPr>
          <w:t xml:space="preserve">Yoorrook for Justice </w:t>
        </w:r>
        <w:r w:rsidR="000535B2" w:rsidRPr="000535B2">
          <w:rPr>
            <w:rStyle w:val="Hyperlink"/>
            <w:i/>
            <w:iCs/>
          </w:rPr>
          <w:t>Report</w:t>
        </w:r>
      </w:hyperlink>
      <w:r w:rsidR="000535B2">
        <w:rPr>
          <w:i/>
          <w:iCs/>
        </w:rPr>
        <w:t xml:space="preserve"> </w:t>
      </w:r>
      <w:r w:rsidR="000535B2">
        <w:t>(April 2024), 7.</w:t>
      </w:r>
      <w:r>
        <w:t xml:space="preserve"> </w:t>
      </w:r>
    </w:p>
  </w:footnote>
  <w:footnote w:id="17">
    <w:p w14:paraId="72C584FC" w14:textId="5C9C6F46" w:rsidR="00710887" w:rsidRDefault="00710887" w:rsidP="00710887">
      <w:pPr>
        <w:pStyle w:val="FootnoteText"/>
      </w:pPr>
      <w:r>
        <w:rPr>
          <w:rStyle w:val="FootnoteReference"/>
        </w:rPr>
        <w:footnoteRef/>
      </w:r>
      <w:r>
        <w:t xml:space="preserve"> </w:t>
      </w:r>
      <w:r w:rsidRPr="00F84F14">
        <w:rPr>
          <w:i/>
          <w:iCs/>
        </w:rPr>
        <w:t>Human Rights Act 2019</w:t>
      </w:r>
      <w:r>
        <w:t xml:space="preserve"> (Qld)</w:t>
      </w:r>
      <w:r w:rsidR="00643F61">
        <w:t>, s 59(3)</w:t>
      </w:r>
      <w:r>
        <w:t xml:space="preserve">. </w:t>
      </w:r>
    </w:p>
  </w:footnote>
  <w:footnote w:id="18">
    <w:p w14:paraId="5C40EE14" w14:textId="0F695FD9" w:rsidR="00710887" w:rsidRDefault="00710887" w:rsidP="00710887">
      <w:pPr>
        <w:pStyle w:val="FootnoteText"/>
      </w:pPr>
      <w:r>
        <w:rPr>
          <w:rStyle w:val="FootnoteReference"/>
        </w:rPr>
        <w:footnoteRef/>
      </w:r>
      <w:r>
        <w:t xml:space="preserve"> </w:t>
      </w:r>
      <w:r w:rsidR="00055123">
        <w:t xml:space="preserve">Queensland Human Rights Commission, </w:t>
      </w:r>
      <w:hyperlink r:id="rId13" w:history="1">
        <w:r w:rsidR="00055123" w:rsidRPr="00B62EAC">
          <w:rPr>
            <w:rStyle w:val="Hyperlink"/>
          </w:rPr>
          <w:t>Submission to Independent Reviewer</w:t>
        </w:r>
      </w:hyperlink>
      <w:r w:rsidR="00055123">
        <w:rPr>
          <w:i/>
          <w:iCs/>
        </w:rPr>
        <w:t>, Review of Queensland’s Human Rights Act 2019</w:t>
      </w:r>
      <w:r w:rsidR="00B62EAC">
        <w:rPr>
          <w:i/>
          <w:iCs/>
        </w:rPr>
        <w:t xml:space="preserve"> </w:t>
      </w:r>
      <w:r w:rsidR="00B62EAC">
        <w:t>(July 2024).</w:t>
      </w:r>
      <w:r>
        <w:t xml:space="preserve"> </w:t>
      </w:r>
    </w:p>
  </w:footnote>
  <w:footnote w:id="19">
    <w:p w14:paraId="41FA5FAA" w14:textId="0430E571" w:rsidR="00710887" w:rsidRDefault="00710887" w:rsidP="00710887">
      <w:pPr>
        <w:pStyle w:val="FootnoteText"/>
      </w:pPr>
      <w:r>
        <w:rPr>
          <w:rStyle w:val="FootnoteReference"/>
        </w:rPr>
        <w:footnoteRef/>
      </w:r>
      <w:r w:rsidR="0057133E">
        <w:t xml:space="preserve">Professor Susan Harris Rimmer, </w:t>
      </w:r>
      <w:hyperlink r:id="rId14" w:history="1">
        <w:r w:rsidR="0057133E" w:rsidRPr="0057133E">
          <w:rPr>
            <w:rStyle w:val="Hyperlink"/>
            <w:i/>
            <w:iCs/>
          </w:rPr>
          <w:t>Placing People at the Heart of Policy: First independent review of the Human Rights Act 2019 (Qld)</w:t>
        </w:r>
      </w:hyperlink>
      <w:r w:rsidR="0057133E">
        <w:t xml:space="preserve"> (September 2024).</w:t>
      </w:r>
      <w:r>
        <w:t xml:space="preserve"> </w:t>
      </w:r>
    </w:p>
  </w:footnote>
  <w:footnote w:id="20">
    <w:p w14:paraId="07670479" w14:textId="4395D58C" w:rsidR="00536A23" w:rsidRPr="00644447" w:rsidRDefault="00536A23" w:rsidP="00536A23">
      <w:pPr>
        <w:pStyle w:val="FootnoteText"/>
      </w:pPr>
      <w:r>
        <w:rPr>
          <w:rStyle w:val="FootnoteReference"/>
        </w:rPr>
        <w:footnoteRef/>
      </w:r>
      <w:r>
        <w:t xml:space="preserve"> </w:t>
      </w:r>
      <w:hyperlink r:id="rId15" w:history="1">
        <w:r w:rsidRPr="0057133E">
          <w:rPr>
            <w:rStyle w:val="Hyperlink"/>
            <w:i/>
            <w:iCs/>
          </w:rPr>
          <w:t>Thomson v ACT Planning and Land Authority (Administrative Review)</w:t>
        </w:r>
      </w:hyperlink>
      <w:r>
        <w:rPr>
          <w:i/>
          <w:iCs/>
        </w:rPr>
        <w:t xml:space="preserve"> </w:t>
      </w:r>
      <w:r>
        <w:t>[2009] ACAT 38 (2 October 2009)</w:t>
      </w:r>
      <w:r w:rsidR="0057133E">
        <w:t>.</w:t>
      </w:r>
    </w:p>
  </w:footnote>
  <w:footnote w:id="21">
    <w:p w14:paraId="16234158" w14:textId="11269B17" w:rsidR="00536A23" w:rsidRDefault="00536A23" w:rsidP="00536A23">
      <w:pPr>
        <w:pStyle w:val="FootnoteText"/>
      </w:pPr>
      <w:r>
        <w:rPr>
          <w:rStyle w:val="FootnoteReference"/>
        </w:rPr>
        <w:footnoteRef/>
      </w:r>
      <w:hyperlink r:id="rId16" w:history="1">
        <w:r w:rsidR="0062751F" w:rsidRPr="0062751F">
          <w:rPr>
            <w:rStyle w:val="Hyperlink"/>
            <w:i/>
            <w:iCs/>
          </w:rPr>
          <w:t xml:space="preserve">Warren Gardner &amp; Julie Beaver v ACT Planning and Land Authority </w:t>
        </w:r>
        <w:r w:rsidR="0062751F" w:rsidRPr="0062751F">
          <w:rPr>
            <w:rStyle w:val="Hyperlink"/>
          </w:rPr>
          <w:t>(Administrative Review)</w:t>
        </w:r>
      </w:hyperlink>
      <w:r w:rsidR="0062751F">
        <w:t xml:space="preserve"> [2010] ACAT 64</w:t>
      </w:r>
      <w:r w:rsidR="00CE2F02">
        <w:t>,</w:t>
      </w:r>
      <w:r w:rsidR="0062751F">
        <w:t xml:space="preserve"> [46]</w:t>
      </w:r>
      <w:r w:rsidR="00CE2F02">
        <w:t>,</w:t>
      </w:r>
      <w:r w:rsidR="0062751F">
        <w:t xml:space="preserve"> [48].</w:t>
      </w:r>
      <w:r>
        <w:t xml:space="preserve"> </w:t>
      </w:r>
    </w:p>
  </w:footnote>
  <w:footnote w:id="22">
    <w:p w14:paraId="34C23243" w14:textId="1E927424" w:rsidR="0090471C" w:rsidRDefault="0090471C" w:rsidP="0090471C">
      <w:pPr>
        <w:pStyle w:val="FootnoteText"/>
      </w:pPr>
      <w:r>
        <w:rPr>
          <w:rStyle w:val="FootnoteReference"/>
        </w:rPr>
        <w:footnoteRef/>
      </w:r>
      <w:r>
        <w:t xml:space="preserve"> </w:t>
      </w:r>
      <w:r w:rsidR="003D7151">
        <w:rPr>
          <w:i/>
          <w:iCs/>
        </w:rPr>
        <w:t>Charter of Human Rights and Responsibilities Act 2006</w:t>
      </w:r>
      <w:r w:rsidR="003D7151">
        <w:t xml:space="preserve"> (Vic),</w:t>
      </w:r>
      <w:r w:rsidR="003D7151">
        <w:rPr>
          <w:i/>
          <w:iCs/>
        </w:rPr>
        <w:t xml:space="preserve"> </w:t>
      </w:r>
      <w:r w:rsidR="003D7151">
        <w:t xml:space="preserve">s </w:t>
      </w:r>
      <w:r>
        <w:t>33(1)</w:t>
      </w:r>
      <w:r w:rsidR="003D7151">
        <w:t>.</w:t>
      </w:r>
      <w:r w:rsidR="00E90E26">
        <w:t xml:space="preserve"> </w:t>
      </w:r>
    </w:p>
  </w:footnote>
  <w:footnote w:id="23">
    <w:p w14:paraId="68518EBA" w14:textId="6FB0CEEA" w:rsidR="001E63F9" w:rsidRPr="001E63F9" w:rsidRDefault="001E63F9">
      <w:pPr>
        <w:pStyle w:val="FootnoteText"/>
      </w:pPr>
      <w:r>
        <w:rPr>
          <w:rStyle w:val="FootnoteReference"/>
        </w:rPr>
        <w:footnoteRef/>
      </w:r>
      <w:r>
        <w:t xml:space="preserve"> </w:t>
      </w:r>
      <w:r>
        <w:rPr>
          <w:i/>
          <w:iCs/>
        </w:rPr>
        <w:t xml:space="preserve">Human Rights Act 2019 </w:t>
      </w:r>
      <w:r>
        <w:t>(Qld)</w:t>
      </w:r>
      <w:r w:rsidR="003D7151">
        <w:t>, s 49</w:t>
      </w:r>
      <w:r>
        <w:t>.</w:t>
      </w:r>
    </w:p>
  </w:footnote>
  <w:footnote w:id="24">
    <w:p w14:paraId="3C9C495F" w14:textId="744036C4" w:rsidR="00B139EF" w:rsidRDefault="00B139EF" w:rsidP="00B139EF">
      <w:pPr>
        <w:pStyle w:val="FootnoteText"/>
      </w:pPr>
      <w:r>
        <w:rPr>
          <w:rStyle w:val="FootnoteReference"/>
        </w:rPr>
        <w:footnoteRef/>
      </w:r>
      <w:r>
        <w:t xml:space="preserve"> </w:t>
      </w:r>
      <w:hyperlink r:id="rId17" w:history="1">
        <w:r w:rsidR="001E6CEF" w:rsidRPr="001E6CEF">
          <w:rPr>
            <w:rStyle w:val="Hyperlink"/>
          </w:rPr>
          <w:t>Evidence to Standing Committee on Justice and Community Safety</w:t>
        </w:r>
      </w:hyperlink>
      <w:r w:rsidR="001E6CEF">
        <w:t xml:space="preserve">, ACT Legislative Assembly, </w:t>
      </w:r>
      <w:r w:rsidR="001E6CEF">
        <w:rPr>
          <w:i/>
          <w:iCs/>
        </w:rPr>
        <w:t>Inquiry into Petition 32-21 (No Rights Without Remedy)</w:t>
      </w:r>
      <w:r w:rsidR="001E6CEF">
        <w:t>, 28 April 2022, 22, (</w:t>
      </w:r>
      <w:r>
        <w:t>Dr Helen Watchirs</w:t>
      </w:r>
      <w:r w:rsidR="001E6CEF">
        <w:t>).</w:t>
      </w:r>
      <w:r>
        <w:t xml:space="preserve"> </w:t>
      </w:r>
    </w:p>
  </w:footnote>
  <w:footnote w:id="25">
    <w:p w14:paraId="52B78EE9" w14:textId="5548FFAB" w:rsidR="00B139EF" w:rsidRDefault="00B139EF" w:rsidP="00B139EF">
      <w:pPr>
        <w:pStyle w:val="FootnoteText"/>
      </w:pPr>
      <w:r>
        <w:rPr>
          <w:rStyle w:val="FootnoteReference"/>
        </w:rPr>
        <w:footnoteRef/>
      </w:r>
      <w:r>
        <w:t xml:space="preserve"> Nicholas Bullbeck, </w:t>
      </w:r>
      <w:hyperlink r:id="rId18" w:history="1">
        <w:r w:rsidRPr="00101721">
          <w:rPr>
            <w:rStyle w:val="Hyperlink"/>
          </w:rPr>
          <w:t>Submission 18 to the</w:t>
        </w:r>
        <w:r w:rsidR="00380098">
          <w:rPr>
            <w:rStyle w:val="Hyperlink"/>
          </w:rPr>
          <w:t xml:space="preserve"> Standing Committee on</w:t>
        </w:r>
        <w:r w:rsidRPr="00101721">
          <w:rPr>
            <w:rStyle w:val="Hyperlink"/>
          </w:rPr>
          <w:t xml:space="preserve"> Justice and Community Safety</w:t>
        </w:r>
        <w:r w:rsidR="00101721" w:rsidRPr="00101721">
          <w:rPr>
            <w:rStyle w:val="Hyperlink"/>
          </w:rPr>
          <w:t>,</w:t>
        </w:r>
        <w:r w:rsidRPr="00101721">
          <w:rPr>
            <w:rStyle w:val="Hyperlink"/>
          </w:rPr>
          <w:t xml:space="preserve"> </w:t>
        </w:r>
        <w:r w:rsidR="00101721" w:rsidRPr="00101721">
          <w:rPr>
            <w:rStyle w:val="Hyperlink"/>
          </w:rPr>
          <w:t xml:space="preserve">ACT Legislative Assembly, </w:t>
        </w:r>
        <w:r w:rsidRPr="00CE2F02">
          <w:rPr>
            <w:rStyle w:val="Hyperlink"/>
            <w:i/>
            <w:iCs/>
          </w:rPr>
          <w:t>Inquiry into Petition 32-21 (No Rights Without Remedy)</w:t>
        </w:r>
      </w:hyperlink>
      <w:r w:rsidR="00101721">
        <w:t xml:space="preserve"> (13 April 2022) 4.</w:t>
      </w:r>
      <w:r>
        <w:t xml:space="preserve"> </w:t>
      </w:r>
    </w:p>
  </w:footnote>
  <w:footnote w:id="26">
    <w:p w14:paraId="60B76EC8" w14:textId="3DA0E96B" w:rsidR="000E537A" w:rsidRDefault="000E537A" w:rsidP="000E537A">
      <w:pPr>
        <w:pStyle w:val="FootnoteText"/>
      </w:pPr>
      <w:r>
        <w:rPr>
          <w:rStyle w:val="FootnoteReference"/>
        </w:rPr>
        <w:footnoteRef/>
      </w:r>
      <w:r>
        <w:t xml:space="preserve"> ACTCOSS, </w:t>
      </w:r>
      <w:hyperlink r:id="rId19" w:history="1">
        <w:r w:rsidRPr="00380098">
          <w:rPr>
            <w:rStyle w:val="Hyperlink"/>
          </w:rPr>
          <w:t xml:space="preserve">Submission 11 to the </w:t>
        </w:r>
        <w:r w:rsidR="00380098">
          <w:rPr>
            <w:rStyle w:val="Hyperlink"/>
          </w:rPr>
          <w:t xml:space="preserve">Standing Committee on </w:t>
        </w:r>
        <w:r w:rsidRPr="00380098">
          <w:rPr>
            <w:rStyle w:val="Hyperlink"/>
          </w:rPr>
          <w:t>Justice and Community Safety</w:t>
        </w:r>
        <w:r w:rsidR="00380098" w:rsidRPr="00380098">
          <w:rPr>
            <w:rStyle w:val="Hyperlink"/>
          </w:rPr>
          <w:t xml:space="preserve">, ACT Legislative Assembly, </w:t>
        </w:r>
        <w:r w:rsidRPr="00CE2F02">
          <w:rPr>
            <w:rStyle w:val="Hyperlink"/>
            <w:i/>
            <w:iCs/>
          </w:rPr>
          <w:t>Inquiry into Petition 32-21 (No Rights Without Remedy)</w:t>
        </w:r>
      </w:hyperlink>
      <w:r w:rsidR="00380098">
        <w:t xml:space="preserve"> (13 April 2022) 3.</w:t>
      </w:r>
      <w:r>
        <w:t xml:space="preserve"> </w:t>
      </w:r>
    </w:p>
  </w:footnote>
  <w:footnote w:id="27">
    <w:p w14:paraId="25C309A9" w14:textId="7F0D1E39" w:rsidR="00363FF8" w:rsidRDefault="00363FF8" w:rsidP="00363FF8">
      <w:pPr>
        <w:pStyle w:val="FootnoteText"/>
      </w:pPr>
      <w:r>
        <w:rPr>
          <w:rStyle w:val="FootnoteReference"/>
        </w:rPr>
        <w:footnoteRef/>
      </w:r>
      <w:r>
        <w:t xml:space="preserve"> Legal Aid ACT, </w:t>
      </w:r>
      <w:hyperlink r:id="rId20" w:history="1">
        <w:r w:rsidRPr="00380098">
          <w:rPr>
            <w:rStyle w:val="Hyperlink"/>
          </w:rPr>
          <w:t xml:space="preserve">Submission 26 to the </w:t>
        </w:r>
        <w:r w:rsidR="00380098" w:rsidRPr="00380098">
          <w:rPr>
            <w:rStyle w:val="Hyperlink"/>
          </w:rPr>
          <w:t xml:space="preserve">Standing Committee on </w:t>
        </w:r>
        <w:r w:rsidRPr="00380098">
          <w:rPr>
            <w:rStyle w:val="Hyperlink"/>
          </w:rPr>
          <w:t>Justice and Community Safety</w:t>
        </w:r>
        <w:r w:rsidR="00380098" w:rsidRPr="00380098">
          <w:rPr>
            <w:rStyle w:val="Hyperlink"/>
          </w:rPr>
          <w:t>, ACT Legislative Assembly,</w:t>
        </w:r>
        <w:r w:rsidRPr="00380098">
          <w:rPr>
            <w:rStyle w:val="Hyperlink"/>
          </w:rPr>
          <w:t xml:space="preserve"> </w:t>
        </w:r>
        <w:r w:rsidRPr="00CE2F02">
          <w:rPr>
            <w:rStyle w:val="Hyperlink"/>
            <w:i/>
            <w:iCs/>
          </w:rPr>
          <w:t>Inquiry into Petition 32-21 (No Rights Without Remedy)</w:t>
        </w:r>
      </w:hyperlink>
      <w:r w:rsidR="00380098">
        <w:t xml:space="preserve"> (13 April 2022)</w:t>
      </w:r>
      <w:r>
        <w:t xml:space="preserve"> </w:t>
      </w:r>
      <w:r w:rsidR="00380098">
        <w:t>3.</w:t>
      </w:r>
      <w:r>
        <w:t xml:space="preserve"> </w:t>
      </w:r>
    </w:p>
  </w:footnote>
  <w:footnote w:id="28">
    <w:p w14:paraId="04D392B4" w14:textId="4D8B8E2F" w:rsidR="00B139EF" w:rsidRDefault="00B139EF" w:rsidP="00B139EF">
      <w:pPr>
        <w:pStyle w:val="FootnoteText"/>
      </w:pPr>
      <w:r>
        <w:rPr>
          <w:rStyle w:val="FootnoteReference"/>
        </w:rPr>
        <w:footnoteRef/>
      </w:r>
      <w:r>
        <w:t xml:space="preserve"> ACT Human Rights Commission, </w:t>
      </w:r>
      <w:hyperlink r:id="rId21" w:history="1">
        <w:r w:rsidRPr="00380098">
          <w:rPr>
            <w:rStyle w:val="Hyperlink"/>
          </w:rPr>
          <w:t>Submission 06 to the</w:t>
        </w:r>
        <w:r w:rsidR="00380098" w:rsidRPr="00380098">
          <w:rPr>
            <w:rStyle w:val="Hyperlink"/>
          </w:rPr>
          <w:t xml:space="preserve"> Standing Committee on</w:t>
        </w:r>
        <w:r w:rsidRPr="00380098">
          <w:rPr>
            <w:rStyle w:val="Hyperlink"/>
          </w:rPr>
          <w:t xml:space="preserve"> Justice and Community Safety</w:t>
        </w:r>
        <w:r w:rsidR="00380098" w:rsidRPr="00380098">
          <w:rPr>
            <w:rStyle w:val="Hyperlink"/>
          </w:rPr>
          <w:t>, ACT Legislative Assembly,</w:t>
        </w:r>
        <w:r w:rsidRPr="00380098">
          <w:rPr>
            <w:rStyle w:val="Hyperlink"/>
          </w:rPr>
          <w:t xml:space="preserve"> </w:t>
        </w:r>
        <w:r w:rsidRPr="00CE2F02">
          <w:rPr>
            <w:rStyle w:val="Hyperlink"/>
            <w:i/>
            <w:iCs/>
          </w:rPr>
          <w:t>Inquiry</w:t>
        </w:r>
        <w:r w:rsidR="00906579" w:rsidRPr="00CE2F02">
          <w:rPr>
            <w:rStyle w:val="Hyperlink"/>
            <w:i/>
            <w:iCs/>
          </w:rPr>
          <w:t xml:space="preserve"> </w:t>
        </w:r>
        <w:r w:rsidRPr="00CE2F02">
          <w:rPr>
            <w:rStyle w:val="Hyperlink"/>
            <w:i/>
            <w:iCs/>
          </w:rPr>
          <w:t>into Petition 32-21 (No Rights Without Remedy)</w:t>
        </w:r>
      </w:hyperlink>
      <w:r w:rsidR="00380098">
        <w:t xml:space="preserve"> (13 April 2022) 20. </w:t>
      </w:r>
      <w:r>
        <w:t xml:space="preserve"> </w:t>
      </w:r>
    </w:p>
  </w:footnote>
  <w:footnote w:id="29">
    <w:p w14:paraId="7D9FD34A" w14:textId="1E3E13B1" w:rsidR="009E6F8A" w:rsidRPr="004E2317" w:rsidRDefault="009E6F8A" w:rsidP="009E6F8A">
      <w:pPr>
        <w:pStyle w:val="FootnoteText"/>
      </w:pPr>
      <w:r>
        <w:rPr>
          <w:rStyle w:val="FootnoteReference"/>
        </w:rPr>
        <w:footnoteRef/>
      </w:r>
      <w:r>
        <w:t xml:space="preserve"> </w:t>
      </w:r>
      <w:r>
        <w:rPr>
          <w:i/>
          <w:iCs/>
        </w:rPr>
        <w:t>Human Rights Act 2004</w:t>
      </w:r>
      <w:r w:rsidR="00AB553E">
        <w:t>, s 40C(2)(a)</w:t>
      </w:r>
      <w:r>
        <w:t xml:space="preserve"> </w:t>
      </w:r>
    </w:p>
  </w:footnote>
  <w:footnote w:id="30">
    <w:p w14:paraId="7779C4AD" w14:textId="5A168E96" w:rsidR="009E6F8A" w:rsidRPr="004E2317" w:rsidRDefault="009E6F8A" w:rsidP="009E6F8A">
      <w:pPr>
        <w:pStyle w:val="FootnoteText"/>
        <w:rPr>
          <w:i/>
          <w:iCs/>
        </w:rPr>
      </w:pPr>
      <w:r>
        <w:rPr>
          <w:rStyle w:val="FootnoteReference"/>
        </w:rPr>
        <w:footnoteRef/>
      </w:r>
      <w:r>
        <w:t xml:space="preserve"> </w:t>
      </w:r>
      <w:r w:rsidR="00AB553E">
        <w:t xml:space="preserve">Ibid s </w:t>
      </w:r>
      <w:r>
        <w:t>40C(6)</w:t>
      </w:r>
      <w:r w:rsidR="00AB553E">
        <w:t>.</w:t>
      </w:r>
    </w:p>
  </w:footnote>
  <w:footnote w:id="31">
    <w:p w14:paraId="157B185C" w14:textId="50A14ED3" w:rsidR="009E6F8A" w:rsidRDefault="009E6F8A" w:rsidP="009E6F8A">
      <w:pPr>
        <w:pStyle w:val="FootnoteText"/>
      </w:pPr>
      <w:r>
        <w:rPr>
          <w:rStyle w:val="FootnoteReference"/>
        </w:rPr>
        <w:footnoteRef/>
      </w:r>
      <w:r>
        <w:t xml:space="preserve"> </w:t>
      </w:r>
      <w:hyperlink r:id="rId22" w:history="1">
        <w:r w:rsidR="00AB553E" w:rsidRPr="002A3BFC">
          <w:rPr>
            <w:rStyle w:val="Hyperlink"/>
            <w:i/>
            <w:iCs/>
          </w:rPr>
          <w:t>McIver v Australian Capital Territory; Williams v Australian Capital Territory</w:t>
        </w:r>
      </w:hyperlink>
      <w:r w:rsidR="00AB553E">
        <w:rPr>
          <w:i/>
          <w:iCs/>
        </w:rPr>
        <w:t xml:space="preserve"> </w:t>
      </w:r>
      <w:r w:rsidR="00AB553E">
        <w:t xml:space="preserve">[2024] ACTSC 112, </w:t>
      </w:r>
      <w:r w:rsidR="002A3BFC">
        <w:t xml:space="preserve">[276], [341]. </w:t>
      </w:r>
    </w:p>
  </w:footnote>
  <w:footnote w:id="32">
    <w:p w14:paraId="2E625079" w14:textId="416DC95E" w:rsidR="009E6F8A" w:rsidRPr="00B668BD" w:rsidRDefault="009E6F8A" w:rsidP="009E6F8A">
      <w:pPr>
        <w:pStyle w:val="FootnoteText"/>
      </w:pPr>
      <w:r>
        <w:rPr>
          <w:rStyle w:val="FootnoteReference"/>
        </w:rPr>
        <w:footnoteRef/>
      </w:r>
      <w:r>
        <w:t xml:space="preserve"> See e.g. </w:t>
      </w:r>
      <w:r w:rsidR="00C358B3">
        <w:t xml:space="preserve">ACT Bill of Rights Consultative Committee, </w:t>
      </w:r>
      <w:hyperlink r:id="rId23" w:history="1">
        <w:r w:rsidRPr="00C358B3">
          <w:rPr>
            <w:rStyle w:val="Hyperlink"/>
            <w:i/>
            <w:iCs/>
          </w:rPr>
          <w:t>Towards an ACT Human Rights Act: Report of the ACT Bill of Rights Consultative Committee</w:t>
        </w:r>
      </w:hyperlink>
      <w:r>
        <w:rPr>
          <w:i/>
          <w:iCs/>
        </w:rPr>
        <w:t xml:space="preserve"> </w:t>
      </w:r>
      <w:r w:rsidR="00C358B3">
        <w:t xml:space="preserve">(Final Report, </w:t>
      </w:r>
      <w:r>
        <w:t>May 20</w:t>
      </w:r>
      <w:r w:rsidR="00C358B3">
        <w:t>0</w:t>
      </w:r>
      <w:r>
        <w:t>3</w:t>
      </w:r>
      <w:r w:rsidR="00C358B3">
        <w:t>),</w:t>
      </w:r>
      <w:r>
        <w:t xml:space="preserve"> </w:t>
      </w:r>
      <w:r w:rsidR="00C358B3">
        <w:t>[4.74].</w:t>
      </w:r>
    </w:p>
  </w:footnote>
  <w:footnote w:id="33">
    <w:p w14:paraId="0CB5FDA3" w14:textId="74BE1204" w:rsidR="009E6F8A" w:rsidRPr="00B01AC9" w:rsidRDefault="009E6F8A" w:rsidP="009E6F8A">
      <w:pPr>
        <w:pStyle w:val="FootnoteText"/>
      </w:pPr>
      <w:r>
        <w:rPr>
          <w:rStyle w:val="FootnoteReference"/>
        </w:rPr>
        <w:footnoteRef/>
      </w:r>
      <w:r>
        <w:t xml:space="preserve"> </w:t>
      </w:r>
      <w:r w:rsidR="00B01AC9">
        <w:t xml:space="preserve">ACT Government, </w:t>
      </w:r>
      <w:r w:rsidR="00B01AC9">
        <w:rPr>
          <w:i/>
          <w:iCs/>
        </w:rPr>
        <w:t>Economic, social and cultural rights in the Human Rights Act 2004: Section 43 review</w:t>
      </w:r>
      <w:r w:rsidR="00B01AC9">
        <w:t xml:space="preserve"> (November 2014). </w:t>
      </w:r>
    </w:p>
  </w:footnote>
  <w:footnote w:id="34">
    <w:p w14:paraId="3CD01B39" w14:textId="4D15A00B" w:rsidR="009E6F8A" w:rsidRDefault="009E6F8A" w:rsidP="009E6F8A">
      <w:pPr>
        <w:pStyle w:val="FootnoteText"/>
      </w:pPr>
      <w:r>
        <w:rPr>
          <w:rStyle w:val="FootnoteReference"/>
        </w:rPr>
        <w:footnoteRef/>
      </w:r>
      <w:r>
        <w:t xml:space="preserve"> </w:t>
      </w:r>
      <w:hyperlink r:id="rId24" w:history="1">
        <w:r w:rsidR="00B01AC9" w:rsidRPr="00B01AC9">
          <w:rPr>
            <w:rStyle w:val="Hyperlink"/>
            <w:i/>
            <w:iCs/>
          </w:rPr>
          <w:t>Davidson v Director-General, Justice and Community Safety Directorate</w:t>
        </w:r>
      </w:hyperlink>
      <w:r w:rsidR="00B01AC9">
        <w:rPr>
          <w:i/>
          <w:iCs/>
        </w:rPr>
        <w:t xml:space="preserve"> </w:t>
      </w:r>
      <w:r w:rsidR="00B01AC9">
        <w:t xml:space="preserve">[2022] ACTSC 83. </w:t>
      </w:r>
    </w:p>
  </w:footnote>
  <w:footnote w:id="35">
    <w:p w14:paraId="16B13EB7" w14:textId="4187FEA7" w:rsidR="009E6F8A" w:rsidRDefault="009E6F8A" w:rsidP="009E6F8A">
      <w:pPr>
        <w:pStyle w:val="FootnoteText"/>
      </w:pPr>
      <w:r>
        <w:rPr>
          <w:rStyle w:val="FootnoteReference"/>
        </w:rPr>
        <w:footnoteRef/>
      </w:r>
      <w:r>
        <w:t xml:space="preserve"> </w:t>
      </w:r>
      <w:hyperlink r:id="rId25" w:history="1">
        <w:r w:rsidR="00B01AC9" w:rsidRPr="00773A68">
          <w:rPr>
            <w:rStyle w:val="Hyperlink"/>
            <w:i/>
            <w:iCs/>
          </w:rPr>
          <w:t>Millington</w:t>
        </w:r>
      </w:hyperlink>
      <w:r w:rsidR="00B01AC9">
        <w:rPr>
          <w:i/>
          <w:iCs/>
        </w:rPr>
        <w:t xml:space="preserve"> v Peach (No 2) </w:t>
      </w:r>
      <w:r w:rsidR="00B01AC9">
        <w:t>2025 ACTSC 21</w:t>
      </w:r>
      <w:r>
        <w:t xml:space="preserve">. </w:t>
      </w:r>
    </w:p>
  </w:footnote>
  <w:footnote w:id="36">
    <w:p w14:paraId="28BFA043" w14:textId="122BF12E" w:rsidR="009E6F8A" w:rsidRDefault="009E6F8A" w:rsidP="009E6F8A">
      <w:pPr>
        <w:pStyle w:val="FootnoteText"/>
      </w:pPr>
      <w:r>
        <w:rPr>
          <w:rStyle w:val="FootnoteReference"/>
        </w:rPr>
        <w:footnoteRef/>
      </w:r>
      <w:r>
        <w:t xml:space="preserve"> </w:t>
      </w:r>
      <w:hyperlink r:id="rId26" w:history="1">
        <w:r w:rsidR="00B01AC9" w:rsidRPr="00B01AC9">
          <w:rPr>
            <w:rStyle w:val="Hyperlink"/>
            <w:i/>
            <w:iCs/>
          </w:rPr>
          <w:t>Davidson v Director-General, Justice and Community Safety Directorate</w:t>
        </w:r>
      </w:hyperlink>
      <w:r w:rsidR="00B01AC9">
        <w:rPr>
          <w:i/>
          <w:iCs/>
        </w:rPr>
        <w:t xml:space="preserve"> </w:t>
      </w:r>
      <w:r w:rsidR="00B01AC9">
        <w:t>[2022] ACTSC 83.</w:t>
      </w:r>
    </w:p>
  </w:footnote>
  <w:footnote w:id="37">
    <w:p w14:paraId="5A740381" w14:textId="6028FB6C" w:rsidR="009E6F8A" w:rsidRDefault="009E6F8A" w:rsidP="009E6F8A">
      <w:pPr>
        <w:pStyle w:val="FootnoteText"/>
      </w:pPr>
      <w:r>
        <w:rPr>
          <w:rStyle w:val="FootnoteReference"/>
        </w:rPr>
        <w:footnoteRef/>
      </w:r>
      <w:r>
        <w:t xml:space="preserve"> </w:t>
      </w:r>
      <w:hyperlink r:id="rId27" w:history="1">
        <w:r w:rsidR="003660BE" w:rsidRPr="003660BE">
          <w:rPr>
            <w:rStyle w:val="Hyperlink"/>
            <w:i/>
            <w:iCs/>
          </w:rPr>
          <w:t>In the matter of an application for bail by Isa Islam</w:t>
        </w:r>
      </w:hyperlink>
      <w:r w:rsidR="003660BE">
        <w:rPr>
          <w:i/>
          <w:iCs/>
        </w:rPr>
        <w:t xml:space="preserve"> </w:t>
      </w:r>
      <w:r w:rsidR="003660BE">
        <w:t xml:space="preserve">[2010] ACTSC 147. </w:t>
      </w:r>
    </w:p>
  </w:footnote>
  <w:footnote w:id="38">
    <w:p w14:paraId="40050D2E" w14:textId="4CFB9B97" w:rsidR="00CE2F02" w:rsidRDefault="00CE2F02">
      <w:pPr>
        <w:pStyle w:val="FootnoteText"/>
      </w:pPr>
      <w:r>
        <w:rPr>
          <w:rStyle w:val="FootnoteReference"/>
        </w:rPr>
        <w:footnoteRef/>
      </w:r>
      <w:r>
        <w:t xml:space="preserve"> </w:t>
      </w:r>
      <w:r w:rsidR="00410AA8">
        <w:t xml:space="preserve">i.e. </w:t>
      </w:r>
      <w:r w:rsidR="00826E71">
        <w:t>“</w:t>
      </w:r>
      <w:r w:rsidR="00410AA8">
        <w:t>H</w:t>
      </w:r>
      <w:r>
        <w:t xml:space="preserve">uman rights issues are relevant matters to be considered by </w:t>
      </w:r>
      <w:r w:rsidR="00826E71">
        <w:t>the Tribunal</w:t>
      </w:r>
      <w:r>
        <w:t xml:space="preserve"> in the exercise of any discretion</w:t>
      </w:r>
      <w:r w:rsidR="00826E71">
        <w:t>”,</w:t>
      </w:r>
      <w:r>
        <w:t xml:space="preserve"> </w:t>
      </w:r>
      <w:r w:rsidR="00826E71">
        <w:t xml:space="preserve"> </w:t>
      </w:r>
      <w:hyperlink r:id="rId28" w:history="1">
        <w:r w:rsidRPr="008A37EC">
          <w:rPr>
            <w:rStyle w:val="Hyperlink"/>
            <w:i/>
            <w:iCs/>
          </w:rPr>
          <w:t>Commissioner for Social Housing v Cook</w:t>
        </w:r>
        <w:r w:rsidR="00D96D90" w:rsidRPr="00826E71">
          <w:rPr>
            <w:rStyle w:val="Hyperlink"/>
            <w:i/>
            <w:iCs/>
          </w:rPr>
          <w:t xml:space="preserve"> (Residential Tenancies)</w:t>
        </w:r>
      </w:hyperlink>
      <w:r w:rsidR="00D96D90">
        <w:rPr>
          <w:i/>
          <w:iCs/>
        </w:rPr>
        <w:t xml:space="preserve"> </w:t>
      </w:r>
      <w:r w:rsidR="00D96D90">
        <w:t>[2020] ACAT 36</w:t>
      </w:r>
      <w:r w:rsidR="00826E71">
        <w:t>, [23]</w:t>
      </w:r>
      <w:r>
        <w:t xml:space="preserve">; </w:t>
      </w:r>
      <w:hyperlink r:id="rId29" w:history="1">
        <w:r w:rsidRPr="008A37EC">
          <w:rPr>
            <w:rStyle w:val="Hyperlink"/>
            <w:i/>
            <w:iCs/>
          </w:rPr>
          <w:t>Russell v Pangallo</w:t>
        </w:r>
      </w:hyperlink>
      <w:r w:rsidR="00826E71">
        <w:t xml:space="preserve"> [2012] ACTMC 4</w:t>
      </w:r>
      <w:r>
        <w:t xml:space="preserve">; </w:t>
      </w:r>
      <w:hyperlink r:id="rId30" w:history="1">
        <w:r w:rsidRPr="008A37EC">
          <w:rPr>
            <w:rStyle w:val="Hyperlink"/>
            <w:i/>
            <w:iCs/>
          </w:rPr>
          <w:t>LM v Childrens Court</w:t>
        </w:r>
        <w:r w:rsidR="000426D2" w:rsidRPr="000426D2">
          <w:rPr>
            <w:rStyle w:val="Hyperlink"/>
            <w:i/>
            <w:iCs/>
          </w:rPr>
          <w:t xml:space="preserve"> of the Australian Capital Territory and the Director of Public Prosecutions for the ACT</w:t>
        </w:r>
      </w:hyperlink>
      <w:r w:rsidR="000426D2">
        <w:rPr>
          <w:i/>
          <w:iCs/>
        </w:rPr>
        <w:t xml:space="preserve"> </w:t>
      </w:r>
      <w:r w:rsidR="000426D2">
        <w:t>[2014] ACTSC 26</w:t>
      </w:r>
      <w:r>
        <w:t xml:space="preserve">; </w:t>
      </w:r>
      <w:r w:rsidR="000426D2">
        <w:t xml:space="preserve">ACT Government, </w:t>
      </w:r>
      <w:r w:rsidR="000426D2">
        <w:rPr>
          <w:i/>
          <w:iCs/>
        </w:rPr>
        <w:t>Economic, social and cultural rights in the Human Rights Act 2004: Section 43 review</w:t>
      </w:r>
      <w:r w:rsidR="000426D2">
        <w:t xml:space="preserve"> (November 2014) p 24</w:t>
      </w:r>
      <w:r>
        <w:t>.</w:t>
      </w:r>
    </w:p>
  </w:footnote>
  <w:footnote w:id="39">
    <w:p w14:paraId="732339D6" w14:textId="162B92D5" w:rsidR="00CE2F02" w:rsidRDefault="00CE2F02">
      <w:pPr>
        <w:pStyle w:val="FootnoteText"/>
      </w:pPr>
      <w:r>
        <w:rPr>
          <w:rStyle w:val="FootnoteReference"/>
        </w:rPr>
        <w:footnoteRef/>
      </w:r>
      <w:r>
        <w:t xml:space="preserve"> </w:t>
      </w:r>
      <w:hyperlink r:id="rId31" w:history="1">
        <w:r w:rsidR="000426D2" w:rsidRPr="005D6A52">
          <w:rPr>
            <w:rStyle w:val="Hyperlink"/>
            <w:i/>
            <w:iCs/>
          </w:rPr>
          <w:t>LM v Childrens Court</w:t>
        </w:r>
        <w:r w:rsidR="000426D2" w:rsidRPr="000426D2">
          <w:rPr>
            <w:rStyle w:val="Hyperlink"/>
            <w:i/>
            <w:iCs/>
          </w:rPr>
          <w:t xml:space="preserve"> of the Australian Capital Territory and the Director of Public Prosecutions for the ACT</w:t>
        </w:r>
      </w:hyperlink>
      <w:r w:rsidR="000426D2">
        <w:rPr>
          <w:i/>
          <w:iCs/>
        </w:rPr>
        <w:t xml:space="preserve"> </w:t>
      </w:r>
      <w:r w:rsidR="000426D2">
        <w:t>[2014] ACTSC 26</w:t>
      </w:r>
      <w:r>
        <w:t xml:space="preserve">; </w:t>
      </w:r>
      <w:r w:rsidR="008A37EC">
        <w:t xml:space="preserve">ACT Human Rights and Discrimination Commissioner, </w:t>
      </w:r>
      <w:hyperlink r:id="rId32" w:history="1">
        <w:r w:rsidRPr="008A37EC">
          <w:rPr>
            <w:rStyle w:val="Hyperlink"/>
            <w:i/>
            <w:iCs/>
          </w:rPr>
          <w:t>Look Who’s Talking</w:t>
        </w:r>
        <w:r w:rsidR="008A37EC" w:rsidRPr="008A37EC">
          <w:rPr>
            <w:rStyle w:val="Hyperlink"/>
          </w:rPr>
          <w:t xml:space="preserve">: </w:t>
        </w:r>
        <w:r w:rsidR="008A37EC" w:rsidRPr="008A37EC">
          <w:rPr>
            <w:rStyle w:val="Hyperlink"/>
            <w:i/>
            <w:iCs/>
          </w:rPr>
          <w:t>A snapshot of ten years of dialogue under the Human Rights Act 2004</w:t>
        </w:r>
      </w:hyperlink>
      <w:r w:rsidR="008A37EC">
        <w:t xml:space="preserve"> (2014)</w:t>
      </w:r>
      <w:r>
        <w:t xml:space="preserve"> p 6</w:t>
      </w:r>
      <w:r w:rsidR="008A37EC">
        <w:t xml:space="preserve">. </w:t>
      </w:r>
    </w:p>
  </w:footnote>
  <w:footnote w:id="40">
    <w:p w14:paraId="13376A9A" w14:textId="73D8FF8B" w:rsidR="00CE2F02" w:rsidRDefault="00CE2F02">
      <w:pPr>
        <w:pStyle w:val="FootnoteText"/>
      </w:pPr>
      <w:r>
        <w:rPr>
          <w:rStyle w:val="FootnoteReference"/>
        </w:rPr>
        <w:footnoteRef/>
      </w:r>
      <w:r>
        <w:t xml:space="preserve"> </w:t>
      </w:r>
      <w:hyperlink r:id="rId33" w:history="1">
        <w:r w:rsidR="00634E22" w:rsidRPr="002A3BFC">
          <w:rPr>
            <w:rStyle w:val="Hyperlink"/>
            <w:i/>
            <w:iCs/>
          </w:rPr>
          <w:t>McIver v Australian Capital Territory; Williams v Australian Capital Territory</w:t>
        </w:r>
      </w:hyperlink>
      <w:r w:rsidR="00634E22">
        <w:rPr>
          <w:i/>
          <w:iCs/>
        </w:rPr>
        <w:t xml:space="preserve"> </w:t>
      </w:r>
      <w:r w:rsidR="00634E22">
        <w:t>[2024] ACTSC 112.</w:t>
      </w:r>
    </w:p>
  </w:footnote>
  <w:footnote w:id="41">
    <w:p w14:paraId="59EFD586" w14:textId="00DE095D" w:rsidR="005D6786" w:rsidRPr="00634E22" w:rsidRDefault="005D6786">
      <w:pPr>
        <w:pStyle w:val="FootnoteText"/>
      </w:pPr>
      <w:r>
        <w:rPr>
          <w:rStyle w:val="FootnoteReference"/>
        </w:rPr>
        <w:footnoteRef/>
      </w:r>
      <w:r>
        <w:t xml:space="preserve"> </w:t>
      </w:r>
      <w:hyperlink r:id="rId34" w:history="1">
        <w:r w:rsidR="00634E22" w:rsidRPr="00DC00D7">
          <w:rPr>
            <w:rStyle w:val="Hyperlink"/>
            <w:i/>
            <w:iCs/>
          </w:rPr>
          <w:t>R v Upton</w:t>
        </w:r>
      </w:hyperlink>
      <w:r w:rsidR="00634E22">
        <w:rPr>
          <w:i/>
          <w:iCs/>
        </w:rPr>
        <w:t xml:space="preserve"> </w:t>
      </w:r>
      <w:r w:rsidR="00634E22">
        <w:t>[2005] ACTSC 52.</w:t>
      </w:r>
    </w:p>
  </w:footnote>
  <w:footnote w:id="42">
    <w:p w14:paraId="6D07F626" w14:textId="77777777" w:rsidR="009467A5" w:rsidRDefault="009467A5" w:rsidP="005A1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47F93860" w:rsidR="00E61BB1" w:rsidRDefault="00E6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3047" w14:textId="3EF4A1E7" w:rsidR="00414EDF" w:rsidRDefault="00414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6C99164B" w:rsidR="00937A95" w:rsidRDefault="00937A95">
    <w:pPr>
      <w:pStyle w:val="Header"/>
    </w:pPr>
    <w:r>
      <w:rPr>
        <w:noProof/>
      </w:rPr>
      <w:drawing>
        <wp:anchor distT="0" distB="0" distL="114300" distR="114300" simplePos="0" relativeHeight="251657728" behindDoc="1" locked="0" layoutInCell="1" allowOverlap="1" wp14:anchorId="25CE12C6" wp14:editId="5D4B175D">
          <wp:simplePos x="0" y="0"/>
          <wp:positionH relativeFrom="column">
            <wp:posOffset>-368710</wp:posOffset>
          </wp:positionH>
          <wp:positionV relativeFrom="paragraph">
            <wp:posOffset>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B2A"/>
    <w:multiLevelType w:val="hybridMultilevel"/>
    <w:tmpl w:val="E200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010BD3"/>
    <w:multiLevelType w:val="hybridMultilevel"/>
    <w:tmpl w:val="968E6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95D13F6"/>
    <w:multiLevelType w:val="hybridMultilevel"/>
    <w:tmpl w:val="CD70D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CC27937"/>
    <w:multiLevelType w:val="hybridMultilevel"/>
    <w:tmpl w:val="EB967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57D26A18"/>
    <w:numStyleLink w:val="KCBullets"/>
  </w:abstractNum>
  <w:abstractNum w:abstractNumId="15"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82F3A1D"/>
    <w:multiLevelType w:val="hybridMultilevel"/>
    <w:tmpl w:val="BA166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E8076D"/>
    <w:multiLevelType w:val="hybridMultilevel"/>
    <w:tmpl w:val="3BF46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50534B"/>
    <w:multiLevelType w:val="hybridMultilevel"/>
    <w:tmpl w:val="47B8D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262C1F"/>
    <w:multiLevelType w:val="hybridMultilevel"/>
    <w:tmpl w:val="ACB66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3F7825"/>
    <w:multiLevelType w:val="hybridMultilevel"/>
    <w:tmpl w:val="09F205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772B0F36"/>
    <w:multiLevelType w:val="hybridMultilevel"/>
    <w:tmpl w:val="73D41434"/>
    <w:lvl w:ilvl="0" w:tplc="53F096F0">
      <w:start w:val="1"/>
      <w:numFmt w:val="bullet"/>
      <w:pStyle w:val="Heading5"/>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6"/>
  </w:num>
  <w:num w:numId="2" w16cid:durableId="624122357">
    <w:abstractNumId w:val="10"/>
  </w:num>
  <w:num w:numId="3" w16cid:durableId="1532960818">
    <w:abstractNumId w:val="24"/>
  </w:num>
  <w:num w:numId="4" w16cid:durableId="552470070">
    <w:abstractNumId w:val="2"/>
  </w:num>
  <w:num w:numId="5" w16cid:durableId="611396820">
    <w:abstractNumId w:val="14"/>
  </w:num>
  <w:num w:numId="6" w16cid:durableId="404570024">
    <w:abstractNumId w:val="11"/>
  </w:num>
  <w:num w:numId="7" w16cid:durableId="1146051722">
    <w:abstractNumId w:val="8"/>
  </w:num>
  <w:num w:numId="8" w16cid:durableId="1911385974">
    <w:abstractNumId w:val="9"/>
  </w:num>
  <w:num w:numId="9" w16cid:durableId="146287623">
    <w:abstractNumId w:val="3"/>
  </w:num>
  <w:num w:numId="10" w16cid:durableId="456097330">
    <w:abstractNumId w:val="17"/>
  </w:num>
  <w:num w:numId="11" w16cid:durableId="1135489105">
    <w:abstractNumId w:val="16"/>
  </w:num>
  <w:num w:numId="12" w16cid:durableId="557402120">
    <w:abstractNumId w:val="5"/>
  </w:num>
  <w:num w:numId="13" w16cid:durableId="2081054892">
    <w:abstractNumId w:val="13"/>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4" w16cid:durableId="1793204199">
    <w:abstractNumId w:val="1"/>
  </w:num>
  <w:num w:numId="15" w16cid:durableId="647906734">
    <w:abstractNumId w:val="15"/>
  </w:num>
  <w:num w:numId="16" w16cid:durableId="17439631">
    <w:abstractNumId w:val="20"/>
  </w:num>
  <w:num w:numId="17" w16cid:durableId="891386733">
    <w:abstractNumId w:val="18"/>
  </w:num>
  <w:num w:numId="18" w16cid:durableId="435098762">
    <w:abstractNumId w:val="4"/>
  </w:num>
  <w:num w:numId="19" w16cid:durableId="165216341">
    <w:abstractNumId w:val="21"/>
  </w:num>
  <w:num w:numId="20" w16cid:durableId="988901956">
    <w:abstractNumId w:val="19"/>
  </w:num>
  <w:num w:numId="21" w16cid:durableId="528421721">
    <w:abstractNumId w:val="0"/>
  </w:num>
  <w:num w:numId="22" w16cid:durableId="1765691482">
    <w:abstractNumId w:val="12"/>
  </w:num>
  <w:num w:numId="23" w16cid:durableId="2088113169">
    <w:abstractNumId w:val="23"/>
  </w:num>
  <w:num w:numId="24" w16cid:durableId="345600338">
    <w:abstractNumId w:val="7"/>
  </w:num>
  <w:num w:numId="25" w16cid:durableId="227964478">
    <w:abstractNumId w:val="22"/>
  </w:num>
  <w:num w:numId="26" w16cid:durableId="996422882">
    <w:abstractNumId w:val="9"/>
  </w:num>
  <w:num w:numId="27" w16cid:durableId="12457183">
    <w:abstractNumId w:val="9"/>
  </w:num>
  <w:num w:numId="28" w16cid:durableId="545029982">
    <w:abstractNumId w:val="9"/>
  </w:num>
  <w:num w:numId="29" w16cid:durableId="46990829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253B2"/>
    <w:rsid w:val="00030F0F"/>
    <w:rsid w:val="00032BA3"/>
    <w:rsid w:val="00033095"/>
    <w:rsid w:val="00033B8B"/>
    <w:rsid w:val="00034451"/>
    <w:rsid w:val="00036660"/>
    <w:rsid w:val="000372F9"/>
    <w:rsid w:val="00037704"/>
    <w:rsid w:val="000409CC"/>
    <w:rsid w:val="00041229"/>
    <w:rsid w:val="00041F2C"/>
    <w:rsid w:val="00042315"/>
    <w:rsid w:val="000426D2"/>
    <w:rsid w:val="000459F7"/>
    <w:rsid w:val="00045AB8"/>
    <w:rsid w:val="000468A5"/>
    <w:rsid w:val="00046C7E"/>
    <w:rsid w:val="00047A2F"/>
    <w:rsid w:val="000517DA"/>
    <w:rsid w:val="0005202D"/>
    <w:rsid w:val="00052CE2"/>
    <w:rsid w:val="000535B2"/>
    <w:rsid w:val="0005427C"/>
    <w:rsid w:val="00055123"/>
    <w:rsid w:val="00060883"/>
    <w:rsid w:val="00060DD9"/>
    <w:rsid w:val="00061209"/>
    <w:rsid w:val="00061CB7"/>
    <w:rsid w:val="00062FC3"/>
    <w:rsid w:val="00063F53"/>
    <w:rsid w:val="00067AB9"/>
    <w:rsid w:val="00067E3F"/>
    <w:rsid w:val="00067F06"/>
    <w:rsid w:val="00070C45"/>
    <w:rsid w:val="000772E8"/>
    <w:rsid w:val="00080696"/>
    <w:rsid w:val="00080A08"/>
    <w:rsid w:val="000815FE"/>
    <w:rsid w:val="00083026"/>
    <w:rsid w:val="00085C34"/>
    <w:rsid w:val="00087EC2"/>
    <w:rsid w:val="00090549"/>
    <w:rsid w:val="00090791"/>
    <w:rsid w:val="00091D3B"/>
    <w:rsid w:val="0009230A"/>
    <w:rsid w:val="00093948"/>
    <w:rsid w:val="000945FC"/>
    <w:rsid w:val="000977F2"/>
    <w:rsid w:val="000A1179"/>
    <w:rsid w:val="000A2753"/>
    <w:rsid w:val="000A31F3"/>
    <w:rsid w:val="000A5858"/>
    <w:rsid w:val="000A6A1C"/>
    <w:rsid w:val="000A6F7E"/>
    <w:rsid w:val="000B192F"/>
    <w:rsid w:val="000B357A"/>
    <w:rsid w:val="000B416C"/>
    <w:rsid w:val="000B5A89"/>
    <w:rsid w:val="000B5BCE"/>
    <w:rsid w:val="000C124F"/>
    <w:rsid w:val="000C1A35"/>
    <w:rsid w:val="000C1E42"/>
    <w:rsid w:val="000C3392"/>
    <w:rsid w:val="000C7DC2"/>
    <w:rsid w:val="000D1F4B"/>
    <w:rsid w:val="000D3642"/>
    <w:rsid w:val="000D382B"/>
    <w:rsid w:val="000D3DE7"/>
    <w:rsid w:val="000D473E"/>
    <w:rsid w:val="000D5635"/>
    <w:rsid w:val="000D64AA"/>
    <w:rsid w:val="000D7B2A"/>
    <w:rsid w:val="000E01B8"/>
    <w:rsid w:val="000E11E7"/>
    <w:rsid w:val="000E35A9"/>
    <w:rsid w:val="000E537A"/>
    <w:rsid w:val="000E7724"/>
    <w:rsid w:val="000F1369"/>
    <w:rsid w:val="000F174A"/>
    <w:rsid w:val="000F20BF"/>
    <w:rsid w:val="000F23B9"/>
    <w:rsid w:val="000F489D"/>
    <w:rsid w:val="000F5C0B"/>
    <w:rsid w:val="000F5E00"/>
    <w:rsid w:val="000F7076"/>
    <w:rsid w:val="00101721"/>
    <w:rsid w:val="00103C68"/>
    <w:rsid w:val="0010655A"/>
    <w:rsid w:val="0011082B"/>
    <w:rsid w:val="00113213"/>
    <w:rsid w:val="00113337"/>
    <w:rsid w:val="0011334F"/>
    <w:rsid w:val="001151FD"/>
    <w:rsid w:val="00115F8D"/>
    <w:rsid w:val="00116A4B"/>
    <w:rsid w:val="001202BC"/>
    <w:rsid w:val="00120DB6"/>
    <w:rsid w:val="00122B4D"/>
    <w:rsid w:val="00124A11"/>
    <w:rsid w:val="00124DB3"/>
    <w:rsid w:val="00125E59"/>
    <w:rsid w:val="00126A84"/>
    <w:rsid w:val="001274ED"/>
    <w:rsid w:val="00132315"/>
    <w:rsid w:val="00137F41"/>
    <w:rsid w:val="00140E63"/>
    <w:rsid w:val="001411B2"/>
    <w:rsid w:val="00143BB9"/>
    <w:rsid w:val="00144FCD"/>
    <w:rsid w:val="001456B1"/>
    <w:rsid w:val="00146D8C"/>
    <w:rsid w:val="00147183"/>
    <w:rsid w:val="00147648"/>
    <w:rsid w:val="00147A4B"/>
    <w:rsid w:val="001509FD"/>
    <w:rsid w:val="0015406D"/>
    <w:rsid w:val="00160398"/>
    <w:rsid w:val="00161197"/>
    <w:rsid w:val="001628EB"/>
    <w:rsid w:val="001659C3"/>
    <w:rsid w:val="00165D31"/>
    <w:rsid w:val="00166C7C"/>
    <w:rsid w:val="00171D44"/>
    <w:rsid w:val="001723F7"/>
    <w:rsid w:val="00175571"/>
    <w:rsid w:val="00182264"/>
    <w:rsid w:val="00182F29"/>
    <w:rsid w:val="00183FC6"/>
    <w:rsid w:val="00185CCE"/>
    <w:rsid w:val="00186490"/>
    <w:rsid w:val="001868B5"/>
    <w:rsid w:val="001901D9"/>
    <w:rsid w:val="0019032A"/>
    <w:rsid w:val="00190528"/>
    <w:rsid w:val="00192820"/>
    <w:rsid w:val="00192BFB"/>
    <w:rsid w:val="001956B0"/>
    <w:rsid w:val="001A58A7"/>
    <w:rsid w:val="001A6487"/>
    <w:rsid w:val="001A7097"/>
    <w:rsid w:val="001A7172"/>
    <w:rsid w:val="001A7D21"/>
    <w:rsid w:val="001B163F"/>
    <w:rsid w:val="001B3E71"/>
    <w:rsid w:val="001B5152"/>
    <w:rsid w:val="001B5B9D"/>
    <w:rsid w:val="001B6B20"/>
    <w:rsid w:val="001B7889"/>
    <w:rsid w:val="001D0003"/>
    <w:rsid w:val="001D03E6"/>
    <w:rsid w:val="001D14E7"/>
    <w:rsid w:val="001D2ECD"/>
    <w:rsid w:val="001D47FB"/>
    <w:rsid w:val="001D5A99"/>
    <w:rsid w:val="001E00FC"/>
    <w:rsid w:val="001E0980"/>
    <w:rsid w:val="001E0C4D"/>
    <w:rsid w:val="001E0F16"/>
    <w:rsid w:val="001E174B"/>
    <w:rsid w:val="001E2685"/>
    <w:rsid w:val="001E63F9"/>
    <w:rsid w:val="001E6CEF"/>
    <w:rsid w:val="001E6D0F"/>
    <w:rsid w:val="001F05B7"/>
    <w:rsid w:val="001F0A50"/>
    <w:rsid w:val="001F14CD"/>
    <w:rsid w:val="001F4660"/>
    <w:rsid w:val="001F476E"/>
    <w:rsid w:val="001F5368"/>
    <w:rsid w:val="001F5A1E"/>
    <w:rsid w:val="001F70B7"/>
    <w:rsid w:val="00200493"/>
    <w:rsid w:val="00205CEB"/>
    <w:rsid w:val="00206AF0"/>
    <w:rsid w:val="00207295"/>
    <w:rsid w:val="00211517"/>
    <w:rsid w:val="00214621"/>
    <w:rsid w:val="002151D4"/>
    <w:rsid w:val="002220C0"/>
    <w:rsid w:val="00222C35"/>
    <w:rsid w:val="00222EF3"/>
    <w:rsid w:val="002246A4"/>
    <w:rsid w:val="00225168"/>
    <w:rsid w:val="00225D81"/>
    <w:rsid w:val="00226D92"/>
    <w:rsid w:val="00227DEA"/>
    <w:rsid w:val="002318C7"/>
    <w:rsid w:val="00232D72"/>
    <w:rsid w:val="002357BE"/>
    <w:rsid w:val="002439CC"/>
    <w:rsid w:val="00244F84"/>
    <w:rsid w:val="002456B4"/>
    <w:rsid w:val="00246ABE"/>
    <w:rsid w:val="002519BD"/>
    <w:rsid w:val="002538F8"/>
    <w:rsid w:val="00254EE3"/>
    <w:rsid w:val="0025564E"/>
    <w:rsid w:val="00256D6A"/>
    <w:rsid w:val="00257E4B"/>
    <w:rsid w:val="00257F4C"/>
    <w:rsid w:val="00264497"/>
    <w:rsid w:val="0026494A"/>
    <w:rsid w:val="00270B17"/>
    <w:rsid w:val="00272E11"/>
    <w:rsid w:val="00273FD1"/>
    <w:rsid w:val="00277AF5"/>
    <w:rsid w:val="0028052C"/>
    <w:rsid w:val="00284B1E"/>
    <w:rsid w:val="0028772E"/>
    <w:rsid w:val="002901DC"/>
    <w:rsid w:val="002903A5"/>
    <w:rsid w:val="00290922"/>
    <w:rsid w:val="00290FC6"/>
    <w:rsid w:val="00291845"/>
    <w:rsid w:val="00292832"/>
    <w:rsid w:val="002942E9"/>
    <w:rsid w:val="00295558"/>
    <w:rsid w:val="002956B4"/>
    <w:rsid w:val="002A0044"/>
    <w:rsid w:val="002A0931"/>
    <w:rsid w:val="002A3396"/>
    <w:rsid w:val="002A3BFC"/>
    <w:rsid w:val="002A3C2D"/>
    <w:rsid w:val="002A47C5"/>
    <w:rsid w:val="002A47F8"/>
    <w:rsid w:val="002A534F"/>
    <w:rsid w:val="002B3134"/>
    <w:rsid w:val="002B3A89"/>
    <w:rsid w:val="002B4201"/>
    <w:rsid w:val="002B4D52"/>
    <w:rsid w:val="002B6770"/>
    <w:rsid w:val="002C494E"/>
    <w:rsid w:val="002C4BD5"/>
    <w:rsid w:val="002C4BD6"/>
    <w:rsid w:val="002C7D41"/>
    <w:rsid w:val="002D0C44"/>
    <w:rsid w:val="002D3D10"/>
    <w:rsid w:val="002D6D0A"/>
    <w:rsid w:val="002D741F"/>
    <w:rsid w:val="002D7E91"/>
    <w:rsid w:val="002E15CE"/>
    <w:rsid w:val="002E54EC"/>
    <w:rsid w:val="002F0B13"/>
    <w:rsid w:val="002F14F6"/>
    <w:rsid w:val="002F3168"/>
    <w:rsid w:val="002F4845"/>
    <w:rsid w:val="002F4CA0"/>
    <w:rsid w:val="002F7270"/>
    <w:rsid w:val="00300CCC"/>
    <w:rsid w:val="003035F1"/>
    <w:rsid w:val="00311EBA"/>
    <w:rsid w:val="0031221A"/>
    <w:rsid w:val="0031298B"/>
    <w:rsid w:val="00313EDB"/>
    <w:rsid w:val="003144A1"/>
    <w:rsid w:val="003222B2"/>
    <w:rsid w:val="00323937"/>
    <w:rsid w:val="00325808"/>
    <w:rsid w:val="0032718E"/>
    <w:rsid w:val="00327908"/>
    <w:rsid w:val="00327C98"/>
    <w:rsid w:val="00334042"/>
    <w:rsid w:val="0033488F"/>
    <w:rsid w:val="003355AA"/>
    <w:rsid w:val="00340363"/>
    <w:rsid w:val="003418BE"/>
    <w:rsid w:val="00342C64"/>
    <w:rsid w:val="003435A9"/>
    <w:rsid w:val="003445EA"/>
    <w:rsid w:val="00350A19"/>
    <w:rsid w:val="00350AA9"/>
    <w:rsid w:val="00350BBA"/>
    <w:rsid w:val="00350E2A"/>
    <w:rsid w:val="003512DE"/>
    <w:rsid w:val="00354224"/>
    <w:rsid w:val="00356BE6"/>
    <w:rsid w:val="00360481"/>
    <w:rsid w:val="003633D4"/>
    <w:rsid w:val="00363FF8"/>
    <w:rsid w:val="003660BE"/>
    <w:rsid w:val="003677B1"/>
    <w:rsid w:val="003678A6"/>
    <w:rsid w:val="00370197"/>
    <w:rsid w:val="00371114"/>
    <w:rsid w:val="00371DB7"/>
    <w:rsid w:val="00373693"/>
    <w:rsid w:val="0037538C"/>
    <w:rsid w:val="00376982"/>
    <w:rsid w:val="00380010"/>
    <w:rsid w:val="00380098"/>
    <w:rsid w:val="003816F2"/>
    <w:rsid w:val="0038250E"/>
    <w:rsid w:val="00382CED"/>
    <w:rsid w:val="00386324"/>
    <w:rsid w:val="0039018A"/>
    <w:rsid w:val="0039075C"/>
    <w:rsid w:val="003908E5"/>
    <w:rsid w:val="00390C4F"/>
    <w:rsid w:val="00391887"/>
    <w:rsid w:val="003923D7"/>
    <w:rsid w:val="00394B92"/>
    <w:rsid w:val="00396F98"/>
    <w:rsid w:val="003A12EE"/>
    <w:rsid w:val="003A148A"/>
    <w:rsid w:val="003A1497"/>
    <w:rsid w:val="003A2050"/>
    <w:rsid w:val="003A3ECB"/>
    <w:rsid w:val="003A4765"/>
    <w:rsid w:val="003A5226"/>
    <w:rsid w:val="003A5449"/>
    <w:rsid w:val="003A5E33"/>
    <w:rsid w:val="003A74DD"/>
    <w:rsid w:val="003B39F4"/>
    <w:rsid w:val="003B4079"/>
    <w:rsid w:val="003B42E5"/>
    <w:rsid w:val="003B6820"/>
    <w:rsid w:val="003B7CE2"/>
    <w:rsid w:val="003C0B38"/>
    <w:rsid w:val="003C15F6"/>
    <w:rsid w:val="003C258C"/>
    <w:rsid w:val="003C2BC2"/>
    <w:rsid w:val="003C338C"/>
    <w:rsid w:val="003C3BAF"/>
    <w:rsid w:val="003C3D01"/>
    <w:rsid w:val="003C4D86"/>
    <w:rsid w:val="003C5CA1"/>
    <w:rsid w:val="003D0E7D"/>
    <w:rsid w:val="003D22DE"/>
    <w:rsid w:val="003D4137"/>
    <w:rsid w:val="003D6B00"/>
    <w:rsid w:val="003D6EC7"/>
    <w:rsid w:val="003D7151"/>
    <w:rsid w:val="003E142B"/>
    <w:rsid w:val="003E232D"/>
    <w:rsid w:val="003E42E0"/>
    <w:rsid w:val="003E45FA"/>
    <w:rsid w:val="003E4738"/>
    <w:rsid w:val="003E55F4"/>
    <w:rsid w:val="003F281B"/>
    <w:rsid w:val="003F2F22"/>
    <w:rsid w:val="003F440B"/>
    <w:rsid w:val="003F633D"/>
    <w:rsid w:val="003F6C33"/>
    <w:rsid w:val="003F7835"/>
    <w:rsid w:val="00400994"/>
    <w:rsid w:val="0040192E"/>
    <w:rsid w:val="00401DFD"/>
    <w:rsid w:val="004020B1"/>
    <w:rsid w:val="00402516"/>
    <w:rsid w:val="004025B1"/>
    <w:rsid w:val="00402C25"/>
    <w:rsid w:val="00403623"/>
    <w:rsid w:val="00405778"/>
    <w:rsid w:val="00406FF6"/>
    <w:rsid w:val="0041085E"/>
    <w:rsid w:val="0041086B"/>
    <w:rsid w:val="00410AA8"/>
    <w:rsid w:val="00410DB1"/>
    <w:rsid w:val="00412DB9"/>
    <w:rsid w:val="00414EDF"/>
    <w:rsid w:val="00415C33"/>
    <w:rsid w:val="00416498"/>
    <w:rsid w:val="00417870"/>
    <w:rsid w:val="00420A2A"/>
    <w:rsid w:val="00420FBD"/>
    <w:rsid w:val="004212A4"/>
    <w:rsid w:val="00423CA3"/>
    <w:rsid w:val="00424367"/>
    <w:rsid w:val="004251BC"/>
    <w:rsid w:val="00425FF0"/>
    <w:rsid w:val="00430784"/>
    <w:rsid w:val="00431387"/>
    <w:rsid w:val="00432172"/>
    <w:rsid w:val="00435884"/>
    <w:rsid w:val="00435E6A"/>
    <w:rsid w:val="00441160"/>
    <w:rsid w:val="00441CA6"/>
    <w:rsid w:val="00441D11"/>
    <w:rsid w:val="00442B9C"/>
    <w:rsid w:val="00442BEF"/>
    <w:rsid w:val="00443784"/>
    <w:rsid w:val="00444579"/>
    <w:rsid w:val="004466A9"/>
    <w:rsid w:val="00450C50"/>
    <w:rsid w:val="00453C62"/>
    <w:rsid w:val="0045403A"/>
    <w:rsid w:val="00454420"/>
    <w:rsid w:val="004563E5"/>
    <w:rsid w:val="00457A95"/>
    <w:rsid w:val="00460520"/>
    <w:rsid w:val="00462830"/>
    <w:rsid w:val="00465918"/>
    <w:rsid w:val="004670B2"/>
    <w:rsid w:val="0046797D"/>
    <w:rsid w:val="00470DB3"/>
    <w:rsid w:val="00470E29"/>
    <w:rsid w:val="00473ED1"/>
    <w:rsid w:val="00476CA0"/>
    <w:rsid w:val="004779EA"/>
    <w:rsid w:val="00480801"/>
    <w:rsid w:val="00481CB2"/>
    <w:rsid w:val="0048305D"/>
    <w:rsid w:val="00483345"/>
    <w:rsid w:val="00483F8D"/>
    <w:rsid w:val="004859EE"/>
    <w:rsid w:val="0048635C"/>
    <w:rsid w:val="004867FF"/>
    <w:rsid w:val="0049362D"/>
    <w:rsid w:val="00493D80"/>
    <w:rsid w:val="00495309"/>
    <w:rsid w:val="00495C6A"/>
    <w:rsid w:val="004A003A"/>
    <w:rsid w:val="004A1A2A"/>
    <w:rsid w:val="004A4C1C"/>
    <w:rsid w:val="004A4DD8"/>
    <w:rsid w:val="004A5A93"/>
    <w:rsid w:val="004A5F70"/>
    <w:rsid w:val="004A6470"/>
    <w:rsid w:val="004B03AD"/>
    <w:rsid w:val="004B3460"/>
    <w:rsid w:val="004B44FE"/>
    <w:rsid w:val="004B7F23"/>
    <w:rsid w:val="004C59F7"/>
    <w:rsid w:val="004D1452"/>
    <w:rsid w:val="004D2AB7"/>
    <w:rsid w:val="004D52C9"/>
    <w:rsid w:val="004D749A"/>
    <w:rsid w:val="004D7907"/>
    <w:rsid w:val="004E2317"/>
    <w:rsid w:val="004E2548"/>
    <w:rsid w:val="004E3BF4"/>
    <w:rsid w:val="004E4E46"/>
    <w:rsid w:val="004E501E"/>
    <w:rsid w:val="004E5851"/>
    <w:rsid w:val="004E5B32"/>
    <w:rsid w:val="004E642B"/>
    <w:rsid w:val="004E729C"/>
    <w:rsid w:val="004F3F45"/>
    <w:rsid w:val="004F65EA"/>
    <w:rsid w:val="00505932"/>
    <w:rsid w:val="00510DEA"/>
    <w:rsid w:val="00511720"/>
    <w:rsid w:val="00513420"/>
    <w:rsid w:val="00513CD6"/>
    <w:rsid w:val="00514C3A"/>
    <w:rsid w:val="00515C14"/>
    <w:rsid w:val="0051698A"/>
    <w:rsid w:val="00517864"/>
    <w:rsid w:val="00521DBF"/>
    <w:rsid w:val="00524F16"/>
    <w:rsid w:val="005251EC"/>
    <w:rsid w:val="00525465"/>
    <w:rsid w:val="00525BDB"/>
    <w:rsid w:val="005331E2"/>
    <w:rsid w:val="00534CCC"/>
    <w:rsid w:val="00536956"/>
    <w:rsid w:val="00536A23"/>
    <w:rsid w:val="00537977"/>
    <w:rsid w:val="00541AB8"/>
    <w:rsid w:val="0054263E"/>
    <w:rsid w:val="00543025"/>
    <w:rsid w:val="00544D0B"/>
    <w:rsid w:val="00546DD7"/>
    <w:rsid w:val="00550867"/>
    <w:rsid w:val="0055278D"/>
    <w:rsid w:val="00552A29"/>
    <w:rsid w:val="00555ED7"/>
    <w:rsid w:val="005561B3"/>
    <w:rsid w:val="00557502"/>
    <w:rsid w:val="00561662"/>
    <w:rsid w:val="00562092"/>
    <w:rsid w:val="00564033"/>
    <w:rsid w:val="00564C40"/>
    <w:rsid w:val="00565FB4"/>
    <w:rsid w:val="00566404"/>
    <w:rsid w:val="00567695"/>
    <w:rsid w:val="0057133E"/>
    <w:rsid w:val="00572530"/>
    <w:rsid w:val="00572D4F"/>
    <w:rsid w:val="00577972"/>
    <w:rsid w:val="005808A0"/>
    <w:rsid w:val="0058437E"/>
    <w:rsid w:val="0058476B"/>
    <w:rsid w:val="00586F3A"/>
    <w:rsid w:val="00587343"/>
    <w:rsid w:val="00587E63"/>
    <w:rsid w:val="005908CE"/>
    <w:rsid w:val="00590F62"/>
    <w:rsid w:val="0059244C"/>
    <w:rsid w:val="00592562"/>
    <w:rsid w:val="005929CA"/>
    <w:rsid w:val="0059319E"/>
    <w:rsid w:val="00593F35"/>
    <w:rsid w:val="005951BD"/>
    <w:rsid w:val="00595526"/>
    <w:rsid w:val="005970FF"/>
    <w:rsid w:val="005A1908"/>
    <w:rsid w:val="005A1F9A"/>
    <w:rsid w:val="005A2752"/>
    <w:rsid w:val="005A4883"/>
    <w:rsid w:val="005A4F2B"/>
    <w:rsid w:val="005A7C82"/>
    <w:rsid w:val="005B1F3C"/>
    <w:rsid w:val="005B3383"/>
    <w:rsid w:val="005B61AF"/>
    <w:rsid w:val="005B6770"/>
    <w:rsid w:val="005B6FCE"/>
    <w:rsid w:val="005B7ACD"/>
    <w:rsid w:val="005C0BDA"/>
    <w:rsid w:val="005C1D49"/>
    <w:rsid w:val="005C7DEF"/>
    <w:rsid w:val="005D23F2"/>
    <w:rsid w:val="005D314B"/>
    <w:rsid w:val="005D324D"/>
    <w:rsid w:val="005D3563"/>
    <w:rsid w:val="005D37BD"/>
    <w:rsid w:val="005D3F6F"/>
    <w:rsid w:val="005D5A3F"/>
    <w:rsid w:val="005D5ABB"/>
    <w:rsid w:val="005D6786"/>
    <w:rsid w:val="005D713B"/>
    <w:rsid w:val="005E1406"/>
    <w:rsid w:val="005E238A"/>
    <w:rsid w:val="005E29EB"/>
    <w:rsid w:val="005E35C3"/>
    <w:rsid w:val="005E6984"/>
    <w:rsid w:val="005E69BD"/>
    <w:rsid w:val="005F0068"/>
    <w:rsid w:val="005F1EC8"/>
    <w:rsid w:val="005F70C4"/>
    <w:rsid w:val="005F77EB"/>
    <w:rsid w:val="005F7D7A"/>
    <w:rsid w:val="006000DC"/>
    <w:rsid w:val="0060051C"/>
    <w:rsid w:val="006017C1"/>
    <w:rsid w:val="00602987"/>
    <w:rsid w:val="00606296"/>
    <w:rsid w:val="006073A7"/>
    <w:rsid w:val="00613213"/>
    <w:rsid w:val="00613623"/>
    <w:rsid w:val="00613831"/>
    <w:rsid w:val="0061416F"/>
    <w:rsid w:val="0061514F"/>
    <w:rsid w:val="00615621"/>
    <w:rsid w:val="006158F1"/>
    <w:rsid w:val="006160CF"/>
    <w:rsid w:val="00616A65"/>
    <w:rsid w:val="0062146F"/>
    <w:rsid w:val="0062148A"/>
    <w:rsid w:val="0062157D"/>
    <w:rsid w:val="00621671"/>
    <w:rsid w:val="0062637E"/>
    <w:rsid w:val="0062751F"/>
    <w:rsid w:val="006320FC"/>
    <w:rsid w:val="006325DA"/>
    <w:rsid w:val="00634E22"/>
    <w:rsid w:val="006358B9"/>
    <w:rsid w:val="006361AE"/>
    <w:rsid w:val="00636612"/>
    <w:rsid w:val="00637F8A"/>
    <w:rsid w:val="00642335"/>
    <w:rsid w:val="006438A7"/>
    <w:rsid w:val="00643F61"/>
    <w:rsid w:val="00644447"/>
    <w:rsid w:val="00650E29"/>
    <w:rsid w:val="0065359F"/>
    <w:rsid w:val="00654372"/>
    <w:rsid w:val="00654D09"/>
    <w:rsid w:val="00657B12"/>
    <w:rsid w:val="00663097"/>
    <w:rsid w:val="00667B0C"/>
    <w:rsid w:val="0067060B"/>
    <w:rsid w:val="00670AB7"/>
    <w:rsid w:val="00673E99"/>
    <w:rsid w:val="006744F8"/>
    <w:rsid w:val="00675B96"/>
    <w:rsid w:val="00680A09"/>
    <w:rsid w:val="00691BCF"/>
    <w:rsid w:val="0069252D"/>
    <w:rsid w:val="00695160"/>
    <w:rsid w:val="00697374"/>
    <w:rsid w:val="006A00BD"/>
    <w:rsid w:val="006A0434"/>
    <w:rsid w:val="006A1CA9"/>
    <w:rsid w:val="006A6212"/>
    <w:rsid w:val="006A6532"/>
    <w:rsid w:val="006A686B"/>
    <w:rsid w:val="006A744D"/>
    <w:rsid w:val="006B0E38"/>
    <w:rsid w:val="006B380F"/>
    <w:rsid w:val="006B4600"/>
    <w:rsid w:val="006B48DB"/>
    <w:rsid w:val="006B4D3E"/>
    <w:rsid w:val="006B56AA"/>
    <w:rsid w:val="006B6A02"/>
    <w:rsid w:val="006B7952"/>
    <w:rsid w:val="006C0071"/>
    <w:rsid w:val="006C3AC5"/>
    <w:rsid w:val="006C6530"/>
    <w:rsid w:val="006C6D9F"/>
    <w:rsid w:val="006D0E49"/>
    <w:rsid w:val="006D2061"/>
    <w:rsid w:val="006D3D6F"/>
    <w:rsid w:val="006D5355"/>
    <w:rsid w:val="006D62D5"/>
    <w:rsid w:val="006D62FF"/>
    <w:rsid w:val="006E167F"/>
    <w:rsid w:val="006E2503"/>
    <w:rsid w:val="006E4786"/>
    <w:rsid w:val="006E49BA"/>
    <w:rsid w:val="006F09FF"/>
    <w:rsid w:val="006F20BF"/>
    <w:rsid w:val="006F37F8"/>
    <w:rsid w:val="006F7B65"/>
    <w:rsid w:val="006F7F07"/>
    <w:rsid w:val="00700913"/>
    <w:rsid w:val="00705236"/>
    <w:rsid w:val="00706970"/>
    <w:rsid w:val="00710887"/>
    <w:rsid w:val="007127C2"/>
    <w:rsid w:val="00712873"/>
    <w:rsid w:val="007136CE"/>
    <w:rsid w:val="007145ED"/>
    <w:rsid w:val="00716175"/>
    <w:rsid w:val="00716CFA"/>
    <w:rsid w:val="00721DE7"/>
    <w:rsid w:val="007227F0"/>
    <w:rsid w:val="00723F5C"/>
    <w:rsid w:val="007245BD"/>
    <w:rsid w:val="00726A29"/>
    <w:rsid w:val="00727119"/>
    <w:rsid w:val="00730294"/>
    <w:rsid w:val="00731BA1"/>
    <w:rsid w:val="00733974"/>
    <w:rsid w:val="0073584F"/>
    <w:rsid w:val="00736191"/>
    <w:rsid w:val="00740056"/>
    <w:rsid w:val="007413E4"/>
    <w:rsid w:val="007428F1"/>
    <w:rsid w:val="007446BE"/>
    <w:rsid w:val="00744D15"/>
    <w:rsid w:val="00751C91"/>
    <w:rsid w:val="0075320F"/>
    <w:rsid w:val="00756957"/>
    <w:rsid w:val="00757931"/>
    <w:rsid w:val="00760F11"/>
    <w:rsid w:val="0076102F"/>
    <w:rsid w:val="0076133C"/>
    <w:rsid w:val="007621B2"/>
    <w:rsid w:val="00763DF6"/>
    <w:rsid w:val="00764B38"/>
    <w:rsid w:val="00765E05"/>
    <w:rsid w:val="007668A8"/>
    <w:rsid w:val="00770239"/>
    <w:rsid w:val="00770344"/>
    <w:rsid w:val="007723F5"/>
    <w:rsid w:val="007728C4"/>
    <w:rsid w:val="00774390"/>
    <w:rsid w:val="007763D8"/>
    <w:rsid w:val="007770D2"/>
    <w:rsid w:val="00780262"/>
    <w:rsid w:val="007805E2"/>
    <w:rsid w:val="007811EC"/>
    <w:rsid w:val="00781C6C"/>
    <w:rsid w:val="00783E48"/>
    <w:rsid w:val="00785D24"/>
    <w:rsid w:val="007876CE"/>
    <w:rsid w:val="0079173B"/>
    <w:rsid w:val="00792C68"/>
    <w:rsid w:val="00793117"/>
    <w:rsid w:val="007931DD"/>
    <w:rsid w:val="00796814"/>
    <w:rsid w:val="0079704B"/>
    <w:rsid w:val="00797D98"/>
    <w:rsid w:val="007A1203"/>
    <w:rsid w:val="007A2F11"/>
    <w:rsid w:val="007A346C"/>
    <w:rsid w:val="007B0885"/>
    <w:rsid w:val="007B444D"/>
    <w:rsid w:val="007B7F17"/>
    <w:rsid w:val="007C31FD"/>
    <w:rsid w:val="007C385A"/>
    <w:rsid w:val="007C3CA0"/>
    <w:rsid w:val="007C3FE1"/>
    <w:rsid w:val="007C43E7"/>
    <w:rsid w:val="007C5A68"/>
    <w:rsid w:val="007C65A3"/>
    <w:rsid w:val="007C762F"/>
    <w:rsid w:val="007D0775"/>
    <w:rsid w:val="007D1067"/>
    <w:rsid w:val="007D1854"/>
    <w:rsid w:val="007D31D0"/>
    <w:rsid w:val="007D37ED"/>
    <w:rsid w:val="007D6B26"/>
    <w:rsid w:val="007D7624"/>
    <w:rsid w:val="007E09A7"/>
    <w:rsid w:val="007E0C22"/>
    <w:rsid w:val="007E150A"/>
    <w:rsid w:val="007E1ADF"/>
    <w:rsid w:val="007E1CDB"/>
    <w:rsid w:val="007E5050"/>
    <w:rsid w:val="007F3111"/>
    <w:rsid w:val="007F531F"/>
    <w:rsid w:val="008016D1"/>
    <w:rsid w:val="00801A60"/>
    <w:rsid w:val="00804089"/>
    <w:rsid w:val="00805BA6"/>
    <w:rsid w:val="00805FD8"/>
    <w:rsid w:val="008069F5"/>
    <w:rsid w:val="00807B4A"/>
    <w:rsid w:val="00810AF1"/>
    <w:rsid w:val="00810C5B"/>
    <w:rsid w:val="00813D10"/>
    <w:rsid w:val="00814AEE"/>
    <w:rsid w:val="00814D89"/>
    <w:rsid w:val="008150D6"/>
    <w:rsid w:val="00817984"/>
    <w:rsid w:val="008235D4"/>
    <w:rsid w:val="00823A16"/>
    <w:rsid w:val="00823E53"/>
    <w:rsid w:val="00824F4C"/>
    <w:rsid w:val="00825C83"/>
    <w:rsid w:val="00826E71"/>
    <w:rsid w:val="008275BC"/>
    <w:rsid w:val="0083203F"/>
    <w:rsid w:val="00832706"/>
    <w:rsid w:val="00832E86"/>
    <w:rsid w:val="00840118"/>
    <w:rsid w:val="00842844"/>
    <w:rsid w:val="00843980"/>
    <w:rsid w:val="008439D3"/>
    <w:rsid w:val="00844A05"/>
    <w:rsid w:val="00846EFE"/>
    <w:rsid w:val="00850058"/>
    <w:rsid w:val="00850953"/>
    <w:rsid w:val="00851091"/>
    <w:rsid w:val="00852E60"/>
    <w:rsid w:val="00853876"/>
    <w:rsid w:val="00854DDA"/>
    <w:rsid w:val="00855415"/>
    <w:rsid w:val="00860059"/>
    <w:rsid w:val="008618D2"/>
    <w:rsid w:val="00861E0D"/>
    <w:rsid w:val="00864104"/>
    <w:rsid w:val="00864883"/>
    <w:rsid w:val="00866CAC"/>
    <w:rsid w:val="00870043"/>
    <w:rsid w:val="0087638C"/>
    <w:rsid w:val="00880D9D"/>
    <w:rsid w:val="0088195F"/>
    <w:rsid w:val="008833CB"/>
    <w:rsid w:val="00885484"/>
    <w:rsid w:val="00887730"/>
    <w:rsid w:val="008878D6"/>
    <w:rsid w:val="008906D5"/>
    <w:rsid w:val="0089524D"/>
    <w:rsid w:val="00895335"/>
    <w:rsid w:val="008958D2"/>
    <w:rsid w:val="00896247"/>
    <w:rsid w:val="00897E0C"/>
    <w:rsid w:val="008A0404"/>
    <w:rsid w:val="008A111C"/>
    <w:rsid w:val="008A251E"/>
    <w:rsid w:val="008A37EC"/>
    <w:rsid w:val="008A396B"/>
    <w:rsid w:val="008A435A"/>
    <w:rsid w:val="008A46A8"/>
    <w:rsid w:val="008A555D"/>
    <w:rsid w:val="008C081A"/>
    <w:rsid w:val="008C1A20"/>
    <w:rsid w:val="008C3BB7"/>
    <w:rsid w:val="008C4513"/>
    <w:rsid w:val="008C5418"/>
    <w:rsid w:val="008C7FD2"/>
    <w:rsid w:val="008D0602"/>
    <w:rsid w:val="008D5EAC"/>
    <w:rsid w:val="008D6BB7"/>
    <w:rsid w:val="008E07C5"/>
    <w:rsid w:val="008E13EE"/>
    <w:rsid w:val="008E3B95"/>
    <w:rsid w:val="008E62A6"/>
    <w:rsid w:val="008E75D5"/>
    <w:rsid w:val="008F0027"/>
    <w:rsid w:val="008F05AE"/>
    <w:rsid w:val="008F068E"/>
    <w:rsid w:val="008F0F2C"/>
    <w:rsid w:val="008F23A8"/>
    <w:rsid w:val="008F4C1C"/>
    <w:rsid w:val="008F6333"/>
    <w:rsid w:val="008F70AD"/>
    <w:rsid w:val="0090471C"/>
    <w:rsid w:val="009051C5"/>
    <w:rsid w:val="00905606"/>
    <w:rsid w:val="00905992"/>
    <w:rsid w:val="00906579"/>
    <w:rsid w:val="00911A17"/>
    <w:rsid w:val="00914631"/>
    <w:rsid w:val="009168BF"/>
    <w:rsid w:val="009169D8"/>
    <w:rsid w:val="009171D8"/>
    <w:rsid w:val="00917D52"/>
    <w:rsid w:val="00925AF8"/>
    <w:rsid w:val="009266DD"/>
    <w:rsid w:val="009273A3"/>
    <w:rsid w:val="00927C96"/>
    <w:rsid w:val="00930CE6"/>
    <w:rsid w:val="0093265F"/>
    <w:rsid w:val="0093298F"/>
    <w:rsid w:val="00933381"/>
    <w:rsid w:val="00934578"/>
    <w:rsid w:val="00936B0E"/>
    <w:rsid w:val="00937A95"/>
    <w:rsid w:val="00940E2C"/>
    <w:rsid w:val="009414E6"/>
    <w:rsid w:val="00944865"/>
    <w:rsid w:val="0094593A"/>
    <w:rsid w:val="00945946"/>
    <w:rsid w:val="00945A13"/>
    <w:rsid w:val="00945B17"/>
    <w:rsid w:val="00945F5D"/>
    <w:rsid w:val="009467A5"/>
    <w:rsid w:val="00951406"/>
    <w:rsid w:val="00951E03"/>
    <w:rsid w:val="00953B18"/>
    <w:rsid w:val="0095432D"/>
    <w:rsid w:val="009562BB"/>
    <w:rsid w:val="0095632A"/>
    <w:rsid w:val="00961E86"/>
    <w:rsid w:val="00962518"/>
    <w:rsid w:val="00962CDD"/>
    <w:rsid w:val="00964BB7"/>
    <w:rsid w:val="0096521B"/>
    <w:rsid w:val="00970507"/>
    <w:rsid w:val="009712C4"/>
    <w:rsid w:val="00971C75"/>
    <w:rsid w:val="00974A06"/>
    <w:rsid w:val="00975187"/>
    <w:rsid w:val="00975E18"/>
    <w:rsid w:val="00975EA9"/>
    <w:rsid w:val="0097750E"/>
    <w:rsid w:val="00980C50"/>
    <w:rsid w:val="00981D8D"/>
    <w:rsid w:val="00981E36"/>
    <w:rsid w:val="00982D0B"/>
    <w:rsid w:val="0098420B"/>
    <w:rsid w:val="00985B78"/>
    <w:rsid w:val="009873CB"/>
    <w:rsid w:val="009876C6"/>
    <w:rsid w:val="00990FC2"/>
    <w:rsid w:val="00993AB0"/>
    <w:rsid w:val="0099597A"/>
    <w:rsid w:val="00996406"/>
    <w:rsid w:val="009A2F21"/>
    <w:rsid w:val="009A3A09"/>
    <w:rsid w:val="009A5B2A"/>
    <w:rsid w:val="009A7D27"/>
    <w:rsid w:val="009A7D35"/>
    <w:rsid w:val="009B33F6"/>
    <w:rsid w:val="009B44D4"/>
    <w:rsid w:val="009C0F07"/>
    <w:rsid w:val="009C1324"/>
    <w:rsid w:val="009C52B8"/>
    <w:rsid w:val="009C5A3C"/>
    <w:rsid w:val="009C5C53"/>
    <w:rsid w:val="009C6EF0"/>
    <w:rsid w:val="009C7696"/>
    <w:rsid w:val="009D1D56"/>
    <w:rsid w:val="009D2444"/>
    <w:rsid w:val="009D3931"/>
    <w:rsid w:val="009D3D0A"/>
    <w:rsid w:val="009D5769"/>
    <w:rsid w:val="009D5F4D"/>
    <w:rsid w:val="009E0A13"/>
    <w:rsid w:val="009E6741"/>
    <w:rsid w:val="009E6F8A"/>
    <w:rsid w:val="009E7231"/>
    <w:rsid w:val="009F1345"/>
    <w:rsid w:val="009F14C2"/>
    <w:rsid w:val="009F1A2F"/>
    <w:rsid w:val="009F2C0B"/>
    <w:rsid w:val="009F4062"/>
    <w:rsid w:val="009F4D46"/>
    <w:rsid w:val="00A000FA"/>
    <w:rsid w:val="00A010FB"/>
    <w:rsid w:val="00A0120A"/>
    <w:rsid w:val="00A0335D"/>
    <w:rsid w:val="00A044DB"/>
    <w:rsid w:val="00A06137"/>
    <w:rsid w:val="00A061B8"/>
    <w:rsid w:val="00A070FE"/>
    <w:rsid w:val="00A074EE"/>
    <w:rsid w:val="00A07E1A"/>
    <w:rsid w:val="00A10BAB"/>
    <w:rsid w:val="00A11D0B"/>
    <w:rsid w:val="00A1203B"/>
    <w:rsid w:val="00A1237C"/>
    <w:rsid w:val="00A1365B"/>
    <w:rsid w:val="00A14766"/>
    <w:rsid w:val="00A225E8"/>
    <w:rsid w:val="00A23149"/>
    <w:rsid w:val="00A254D8"/>
    <w:rsid w:val="00A2632E"/>
    <w:rsid w:val="00A31721"/>
    <w:rsid w:val="00A31BA5"/>
    <w:rsid w:val="00A357F4"/>
    <w:rsid w:val="00A361BD"/>
    <w:rsid w:val="00A36D89"/>
    <w:rsid w:val="00A4212C"/>
    <w:rsid w:val="00A42E9A"/>
    <w:rsid w:val="00A4301F"/>
    <w:rsid w:val="00A45047"/>
    <w:rsid w:val="00A45F84"/>
    <w:rsid w:val="00A47477"/>
    <w:rsid w:val="00A47788"/>
    <w:rsid w:val="00A47E3D"/>
    <w:rsid w:val="00A504BD"/>
    <w:rsid w:val="00A50ACF"/>
    <w:rsid w:val="00A51A6D"/>
    <w:rsid w:val="00A52C0F"/>
    <w:rsid w:val="00A53608"/>
    <w:rsid w:val="00A53C78"/>
    <w:rsid w:val="00A53D59"/>
    <w:rsid w:val="00A552A2"/>
    <w:rsid w:val="00A572F7"/>
    <w:rsid w:val="00A5763E"/>
    <w:rsid w:val="00A614ED"/>
    <w:rsid w:val="00A64588"/>
    <w:rsid w:val="00A6473D"/>
    <w:rsid w:val="00A64EF8"/>
    <w:rsid w:val="00A663F3"/>
    <w:rsid w:val="00A66AC5"/>
    <w:rsid w:val="00A673F8"/>
    <w:rsid w:val="00A6761B"/>
    <w:rsid w:val="00A70E5F"/>
    <w:rsid w:val="00A72F08"/>
    <w:rsid w:val="00A74F68"/>
    <w:rsid w:val="00A754BB"/>
    <w:rsid w:val="00A75733"/>
    <w:rsid w:val="00A75F42"/>
    <w:rsid w:val="00A767D7"/>
    <w:rsid w:val="00A77EA4"/>
    <w:rsid w:val="00A8523A"/>
    <w:rsid w:val="00A856B5"/>
    <w:rsid w:val="00A9083A"/>
    <w:rsid w:val="00A92730"/>
    <w:rsid w:val="00A940B1"/>
    <w:rsid w:val="00AA51A2"/>
    <w:rsid w:val="00AA658C"/>
    <w:rsid w:val="00AA7C1A"/>
    <w:rsid w:val="00AB4664"/>
    <w:rsid w:val="00AB553E"/>
    <w:rsid w:val="00AB55B3"/>
    <w:rsid w:val="00AB6329"/>
    <w:rsid w:val="00AB661A"/>
    <w:rsid w:val="00AC12C3"/>
    <w:rsid w:val="00AC267D"/>
    <w:rsid w:val="00AC4601"/>
    <w:rsid w:val="00AC5AF0"/>
    <w:rsid w:val="00AC64F8"/>
    <w:rsid w:val="00AD34F0"/>
    <w:rsid w:val="00AD7525"/>
    <w:rsid w:val="00AE52FA"/>
    <w:rsid w:val="00AE7D36"/>
    <w:rsid w:val="00AF5916"/>
    <w:rsid w:val="00B00345"/>
    <w:rsid w:val="00B003A4"/>
    <w:rsid w:val="00B00C37"/>
    <w:rsid w:val="00B01AC9"/>
    <w:rsid w:val="00B02572"/>
    <w:rsid w:val="00B028FA"/>
    <w:rsid w:val="00B02A52"/>
    <w:rsid w:val="00B02B1E"/>
    <w:rsid w:val="00B1096B"/>
    <w:rsid w:val="00B12782"/>
    <w:rsid w:val="00B12EB8"/>
    <w:rsid w:val="00B1308C"/>
    <w:rsid w:val="00B131AA"/>
    <w:rsid w:val="00B13706"/>
    <w:rsid w:val="00B139EF"/>
    <w:rsid w:val="00B1430D"/>
    <w:rsid w:val="00B16CCF"/>
    <w:rsid w:val="00B178AD"/>
    <w:rsid w:val="00B209A5"/>
    <w:rsid w:val="00B21A98"/>
    <w:rsid w:val="00B222A1"/>
    <w:rsid w:val="00B22DF5"/>
    <w:rsid w:val="00B23BBF"/>
    <w:rsid w:val="00B248D7"/>
    <w:rsid w:val="00B257F4"/>
    <w:rsid w:val="00B2580E"/>
    <w:rsid w:val="00B26262"/>
    <w:rsid w:val="00B26ABF"/>
    <w:rsid w:val="00B303AF"/>
    <w:rsid w:val="00B353B6"/>
    <w:rsid w:val="00B358EC"/>
    <w:rsid w:val="00B40632"/>
    <w:rsid w:val="00B40ECE"/>
    <w:rsid w:val="00B4239B"/>
    <w:rsid w:val="00B42B61"/>
    <w:rsid w:val="00B446F7"/>
    <w:rsid w:val="00B4507C"/>
    <w:rsid w:val="00B46596"/>
    <w:rsid w:val="00B46B29"/>
    <w:rsid w:val="00B514E3"/>
    <w:rsid w:val="00B5223D"/>
    <w:rsid w:val="00B5293F"/>
    <w:rsid w:val="00B549FB"/>
    <w:rsid w:val="00B54D08"/>
    <w:rsid w:val="00B5537D"/>
    <w:rsid w:val="00B55E41"/>
    <w:rsid w:val="00B621B9"/>
    <w:rsid w:val="00B62D1F"/>
    <w:rsid w:val="00B62EAC"/>
    <w:rsid w:val="00B6389F"/>
    <w:rsid w:val="00B6647F"/>
    <w:rsid w:val="00B668BD"/>
    <w:rsid w:val="00B7173B"/>
    <w:rsid w:val="00B76680"/>
    <w:rsid w:val="00B77263"/>
    <w:rsid w:val="00B82A49"/>
    <w:rsid w:val="00B83969"/>
    <w:rsid w:val="00B83F53"/>
    <w:rsid w:val="00B84CC3"/>
    <w:rsid w:val="00B85096"/>
    <w:rsid w:val="00B865B8"/>
    <w:rsid w:val="00B9249A"/>
    <w:rsid w:val="00B95D27"/>
    <w:rsid w:val="00BA7620"/>
    <w:rsid w:val="00BA7CDA"/>
    <w:rsid w:val="00BB2057"/>
    <w:rsid w:val="00BB2E47"/>
    <w:rsid w:val="00BB2F88"/>
    <w:rsid w:val="00BB2FC1"/>
    <w:rsid w:val="00BC0D5F"/>
    <w:rsid w:val="00BC2102"/>
    <w:rsid w:val="00BC4261"/>
    <w:rsid w:val="00BC531E"/>
    <w:rsid w:val="00BC673B"/>
    <w:rsid w:val="00BC712F"/>
    <w:rsid w:val="00BD2D8F"/>
    <w:rsid w:val="00BD31F1"/>
    <w:rsid w:val="00BD6391"/>
    <w:rsid w:val="00BD6431"/>
    <w:rsid w:val="00BD7ADC"/>
    <w:rsid w:val="00BE310F"/>
    <w:rsid w:val="00BE37AE"/>
    <w:rsid w:val="00BE3CFD"/>
    <w:rsid w:val="00BF13BE"/>
    <w:rsid w:val="00BF5B50"/>
    <w:rsid w:val="00BF6B28"/>
    <w:rsid w:val="00BF7E02"/>
    <w:rsid w:val="00C00757"/>
    <w:rsid w:val="00C01943"/>
    <w:rsid w:val="00C02A27"/>
    <w:rsid w:val="00C05776"/>
    <w:rsid w:val="00C058DE"/>
    <w:rsid w:val="00C05DD6"/>
    <w:rsid w:val="00C068D6"/>
    <w:rsid w:val="00C06FD9"/>
    <w:rsid w:val="00C10B18"/>
    <w:rsid w:val="00C1197A"/>
    <w:rsid w:val="00C12B90"/>
    <w:rsid w:val="00C13228"/>
    <w:rsid w:val="00C155AE"/>
    <w:rsid w:val="00C23AE3"/>
    <w:rsid w:val="00C23E90"/>
    <w:rsid w:val="00C274DB"/>
    <w:rsid w:val="00C32A8C"/>
    <w:rsid w:val="00C33B04"/>
    <w:rsid w:val="00C34C1C"/>
    <w:rsid w:val="00C35314"/>
    <w:rsid w:val="00C358B3"/>
    <w:rsid w:val="00C36102"/>
    <w:rsid w:val="00C3795E"/>
    <w:rsid w:val="00C45989"/>
    <w:rsid w:val="00C47C73"/>
    <w:rsid w:val="00C50044"/>
    <w:rsid w:val="00C51819"/>
    <w:rsid w:val="00C537D5"/>
    <w:rsid w:val="00C54568"/>
    <w:rsid w:val="00C55542"/>
    <w:rsid w:val="00C5559F"/>
    <w:rsid w:val="00C56123"/>
    <w:rsid w:val="00C57BB2"/>
    <w:rsid w:val="00C62187"/>
    <w:rsid w:val="00C62D1C"/>
    <w:rsid w:val="00C6612E"/>
    <w:rsid w:val="00C66F4B"/>
    <w:rsid w:val="00C7137B"/>
    <w:rsid w:val="00C73E0D"/>
    <w:rsid w:val="00C7724A"/>
    <w:rsid w:val="00C77916"/>
    <w:rsid w:val="00C80B9D"/>
    <w:rsid w:val="00C80E86"/>
    <w:rsid w:val="00C833B5"/>
    <w:rsid w:val="00C837A4"/>
    <w:rsid w:val="00C841D3"/>
    <w:rsid w:val="00C909C4"/>
    <w:rsid w:val="00C91661"/>
    <w:rsid w:val="00C92867"/>
    <w:rsid w:val="00C956AF"/>
    <w:rsid w:val="00CA31DD"/>
    <w:rsid w:val="00CA486A"/>
    <w:rsid w:val="00CA512E"/>
    <w:rsid w:val="00CB3342"/>
    <w:rsid w:val="00CC0126"/>
    <w:rsid w:val="00CC2439"/>
    <w:rsid w:val="00CC2B24"/>
    <w:rsid w:val="00CC33E4"/>
    <w:rsid w:val="00CC412C"/>
    <w:rsid w:val="00CC6ABC"/>
    <w:rsid w:val="00CC72C8"/>
    <w:rsid w:val="00CC730C"/>
    <w:rsid w:val="00CC7F47"/>
    <w:rsid w:val="00CD3838"/>
    <w:rsid w:val="00CD5169"/>
    <w:rsid w:val="00CE176F"/>
    <w:rsid w:val="00CE2F02"/>
    <w:rsid w:val="00CE416B"/>
    <w:rsid w:val="00CE4C13"/>
    <w:rsid w:val="00CE5718"/>
    <w:rsid w:val="00CE59A4"/>
    <w:rsid w:val="00CE68B7"/>
    <w:rsid w:val="00CF24C8"/>
    <w:rsid w:val="00D014A5"/>
    <w:rsid w:val="00D024CA"/>
    <w:rsid w:val="00D03790"/>
    <w:rsid w:val="00D05766"/>
    <w:rsid w:val="00D059FB"/>
    <w:rsid w:val="00D060B7"/>
    <w:rsid w:val="00D06645"/>
    <w:rsid w:val="00D06CF5"/>
    <w:rsid w:val="00D12984"/>
    <w:rsid w:val="00D12EF7"/>
    <w:rsid w:val="00D147F8"/>
    <w:rsid w:val="00D14D0C"/>
    <w:rsid w:val="00D173A4"/>
    <w:rsid w:val="00D17F50"/>
    <w:rsid w:val="00D20335"/>
    <w:rsid w:val="00D25CA5"/>
    <w:rsid w:val="00D2726F"/>
    <w:rsid w:val="00D27A0B"/>
    <w:rsid w:val="00D27F93"/>
    <w:rsid w:val="00D30CD8"/>
    <w:rsid w:val="00D32D2A"/>
    <w:rsid w:val="00D33CD9"/>
    <w:rsid w:val="00D35AF4"/>
    <w:rsid w:val="00D35DE2"/>
    <w:rsid w:val="00D3648B"/>
    <w:rsid w:val="00D37231"/>
    <w:rsid w:val="00D37A81"/>
    <w:rsid w:val="00D40B93"/>
    <w:rsid w:val="00D42111"/>
    <w:rsid w:val="00D440B0"/>
    <w:rsid w:val="00D4564A"/>
    <w:rsid w:val="00D47905"/>
    <w:rsid w:val="00D50DE9"/>
    <w:rsid w:val="00D52252"/>
    <w:rsid w:val="00D5231F"/>
    <w:rsid w:val="00D5237E"/>
    <w:rsid w:val="00D53344"/>
    <w:rsid w:val="00D55EB0"/>
    <w:rsid w:val="00D565AB"/>
    <w:rsid w:val="00D56624"/>
    <w:rsid w:val="00D572A8"/>
    <w:rsid w:val="00D57354"/>
    <w:rsid w:val="00D6240D"/>
    <w:rsid w:val="00D6784A"/>
    <w:rsid w:val="00D720FE"/>
    <w:rsid w:val="00D722A0"/>
    <w:rsid w:val="00D73FC9"/>
    <w:rsid w:val="00D76208"/>
    <w:rsid w:val="00D7700D"/>
    <w:rsid w:val="00D775AF"/>
    <w:rsid w:val="00D80869"/>
    <w:rsid w:val="00D81AA3"/>
    <w:rsid w:val="00D83139"/>
    <w:rsid w:val="00D843E0"/>
    <w:rsid w:val="00D905AF"/>
    <w:rsid w:val="00D94E31"/>
    <w:rsid w:val="00D96D90"/>
    <w:rsid w:val="00D97CD6"/>
    <w:rsid w:val="00DA0027"/>
    <w:rsid w:val="00DA0CFC"/>
    <w:rsid w:val="00DA302E"/>
    <w:rsid w:val="00DA320A"/>
    <w:rsid w:val="00DA420D"/>
    <w:rsid w:val="00DA4500"/>
    <w:rsid w:val="00DA5C67"/>
    <w:rsid w:val="00DB1A2C"/>
    <w:rsid w:val="00DB1BE6"/>
    <w:rsid w:val="00DB6D80"/>
    <w:rsid w:val="00DB7F00"/>
    <w:rsid w:val="00DB7FC3"/>
    <w:rsid w:val="00DC00D7"/>
    <w:rsid w:val="00DC1218"/>
    <w:rsid w:val="00DC4F38"/>
    <w:rsid w:val="00DC7EA0"/>
    <w:rsid w:val="00DD161C"/>
    <w:rsid w:val="00DD4C27"/>
    <w:rsid w:val="00DD6070"/>
    <w:rsid w:val="00DD71A1"/>
    <w:rsid w:val="00DE1C3E"/>
    <w:rsid w:val="00DE2C2C"/>
    <w:rsid w:val="00DE3318"/>
    <w:rsid w:val="00DE4B31"/>
    <w:rsid w:val="00DE50F6"/>
    <w:rsid w:val="00DE63CA"/>
    <w:rsid w:val="00DF0002"/>
    <w:rsid w:val="00DF21AB"/>
    <w:rsid w:val="00DF3C80"/>
    <w:rsid w:val="00DF4992"/>
    <w:rsid w:val="00DF5208"/>
    <w:rsid w:val="00E02816"/>
    <w:rsid w:val="00E071F5"/>
    <w:rsid w:val="00E078C3"/>
    <w:rsid w:val="00E10878"/>
    <w:rsid w:val="00E10C37"/>
    <w:rsid w:val="00E12C79"/>
    <w:rsid w:val="00E155D9"/>
    <w:rsid w:val="00E208AB"/>
    <w:rsid w:val="00E26863"/>
    <w:rsid w:val="00E35D14"/>
    <w:rsid w:val="00E366EF"/>
    <w:rsid w:val="00E3756B"/>
    <w:rsid w:val="00E40127"/>
    <w:rsid w:val="00E4087E"/>
    <w:rsid w:val="00E43E74"/>
    <w:rsid w:val="00E513D9"/>
    <w:rsid w:val="00E53156"/>
    <w:rsid w:val="00E544A0"/>
    <w:rsid w:val="00E61BB1"/>
    <w:rsid w:val="00E63215"/>
    <w:rsid w:val="00E6370A"/>
    <w:rsid w:val="00E65238"/>
    <w:rsid w:val="00E6593D"/>
    <w:rsid w:val="00E6623D"/>
    <w:rsid w:val="00E67C9A"/>
    <w:rsid w:val="00E72900"/>
    <w:rsid w:val="00E73021"/>
    <w:rsid w:val="00E733FE"/>
    <w:rsid w:val="00E73880"/>
    <w:rsid w:val="00E73DD8"/>
    <w:rsid w:val="00E80388"/>
    <w:rsid w:val="00E80F78"/>
    <w:rsid w:val="00E81555"/>
    <w:rsid w:val="00E82093"/>
    <w:rsid w:val="00E822D0"/>
    <w:rsid w:val="00E83AA0"/>
    <w:rsid w:val="00E83D6F"/>
    <w:rsid w:val="00E8455D"/>
    <w:rsid w:val="00E90D49"/>
    <w:rsid w:val="00E90E26"/>
    <w:rsid w:val="00E92BF8"/>
    <w:rsid w:val="00E92E8A"/>
    <w:rsid w:val="00E95AB0"/>
    <w:rsid w:val="00EA2AAD"/>
    <w:rsid w:val="00EA6023"/>
    <w:rsid w:val="00EB0F8C"/>
    <w:rsid w:val="00EB2606"/>
    <w:rsid w:val="00EB4651"/>
    <w:rsid w:val="00EB55F8"/>
    <w:rsid w:val="00EB5DE3"/>
    <w:rsid w:val="00EB5F79"/>
    <w:rsid w:val="00EB6BD4"/>
    <w:rsid w:val="00EC09ED"/>
    <w:rsid w:val="00EC28F6"/>
    <w:rsid w:val="00EC4944"/>
    <w:rsid w:val="00EC5694"/>
    <w:rsid w:val="00EC6674"/>
    <w:rsid w:val="00ED1301"/>
    <w:rsid w:val="00ED1700"/>
    <w:rsid w:val="00ED72CA"/>
    <w:rsid w:val="00ED7A5E"/>
    <w:rsid w:val="00EE4D71"/>
    <w:rsid w:val="00EE6687"/>
    <w:rsid w:val="00EE67FE"/>
    <w:rsid w:val="00EE6C5A"/>
    <w:rsid w:val="00EF6F02"/>
    <w:rsid w:val="00EF7650"/>
    <w:rsid w:val="00F01833"/>
    <w:rsid w:val="00F049EF"/>
    <w:rsid w:val="00F04ACA"/>
    <w:rsid w:val="00F05C44"/>
    <w:rsid w:val="00F1233C"/>
    <w:rsid w:val="00F13527"/>
    <w:rsid w:val="00F16C95"/>
    <w:rsid w:val="00F2286D"/>
    <w:rsid w:val="00F233D0"/>
    <w:rsid w:val="00F235B9"/>
    <w:rsid w:val="00F2424C"/>
    <w:rsid w:val="00F24DFF"/>
    <w:rsid w:val="00F271F9"/>
    <w:rsid w:val="00F27B0F"/>
    <w:rsid w:val="00F32215"/>
    <w:rsid w:val="00F32981"/>
    <w:rsid w:val="00F33EBD"/>
    <w:rsid w:val="00F354C8"/>
    <w:rsid w:val="00F378D3"/>
    <w:rsid w:val="00F379D4"/>
    <w:rsid w:val="00F422B2"/>
    <w:rsid w:val="00F43B5D"/>
    <w:rsid w:val="00F4581C"/>
    <w:rsid w:val="00F45DA0"/>
    <w:rsid w:val="00F46791"/>
    <w:rsid w:val="00F508F4"/>
    <w:rsid w:val="00F50F96"/>
    <w:rsid w:val="00F51125"/>
    <w:rsid w:val="00F52258"/>
    <w:rsid w:val="00F52C83"/>
    <w:rsid w:val="00F52F3B"/>
    <w:rsid w:val="00F54B4F"/>
    <w:rsid w:val="00F55A9F"/>
    <w:rsid w:val="00F574FC"/>
    <w:rsid w:val="00F60629"/>
    <w:rsid w:val="00F6289F"/>
    <w:rsid w:val="00F63A29"/>
    <w:rsid w:val="00F66D3F"/>
    <w:rsid w:val="00F74592"/>
    <w:rsid w:val="00F754B6"/>
    <w:rsid w:val="00F76AAC"/>
    <w:rsid w:val="00F76D7B"/>
    <w:rsid w:val="00F80284"/>
    <w:rsid w:val="00F811BC"/>
    <w:rsid w:val="00F81CE9"/>
    <w:rsid w:val="00F82B30"/>
    <w:rsid w:val="00F83811"/>
    <w:rsid w:val="00F83EC8"/>
    <w:rsid w:val="00F84F14"/>
    <w:rsid w:val="00F87376"/>
    <w:rsid w:val="00F9045D"/>
    <w:rsid w:val="00F90BB9"/>
    <w:rsid w:val="00F939BC"/>
    <w:rsid w:val="00F957C1"/>
    <w:rsid w:val="00F95BCA"/>
    <w:rsid w:val="00F95FDE"/>
    <w:rsid w:val="00F97959"/>
    <w:rsid w:val="00FA0C41"/>
    <w:rsid w:val="00FA58F8"/>
    <w:rsid w:val="00FA6FCF"/>
    <w:rsid w:val="00FB07F9"/>
    <w:rsid w:val="00FB1A89"/>
    <w:rsid w:val="00FB23DB"/>
    <w:rsid w:val="00FB2540"/>
    <w:rsid w:val="00FB3D0B"/>
    <w:rsid w:val="00FB592F"/>
    <w:rsid w:val="00FB6B08"/>
    <w:rsid w:val="00FC241C"/>
    <w:rsid w:val="00FC25F6"/>
    <w:rsid w:val="00FC4F18"/>
    <w:rsid w:val="00FC62A5"/>
    <w:rsid w:val="00FC67DB"/>
    <w:rsid w:val="00FC6E9B"/>
    <w:rsid w:val="00FD0DA5"/>
    <w:rsid w:val="00FD231A"/>
    <w:rsid w:val="00FD551E"/>
    <w:rsid w:val="00FE1572"/>
    <w:rsid w:val="00FE2259"/>
    <w:rsid w:val="00FE39FF"/>
    <w:rsid w:val="00FE4197"/>
    <w:rsid w:val="00FE47DA"/>
    <w:rsid w:val="00FE4EF8"/>
    <w:rsid w:val="00FE4F77"/>
    <w:rsid w:val="00FE53D4"/>
    <w:rsid w:val="00FE6DEB"/>
    <w:rsid w:val="00FF04D1"/>
    <w:rsid w:val="00FF07A8"/>
    <w:rsid w:val="00FF1D96"/>
    <w:rsid w:val="00FF2AB3"/>
    <w:rsid w:val="00FF306A"/>
    <w:rsid w:val="00FF3D10"/>
    <w:rsid w:val="00FF3FF3"/>
    <w:rsid w:val="00FF4175"/>
    <w:rsid w:val="00FF663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256D6A"/>
    <w:pPr>
      <w:keepNext/>
      <w:keepLines/>
      <w:spacing w:before="144" w:after="144"/>
      <w:outlineLvl w:val="2"/>
    </w:pPr>
    <w:rPr>
      <w:rFonts w:ascii="Arial Bold" w:hAnsi="Arial Bold"/>
      <w:bCs/>
      <w:color w:val="000000" w:themeColor="text1"/>
      <w:sz w:val="24"/>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0C3392"/>
    <w:pPr>
      <w:keepNext/>
      <w:numPr>
        <w:numId w:val="23"/>
      </w:numPr>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256D6A"/>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C3392"/>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spacing w:before="60" w:after="60"/>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3"/>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4"/>
      </w:numPr>
    </w:pPr>
  </w:style>
  <w:style w:type="paragraph" w:customStyle="1" w:styleId="Bullet1">
    <w:name w:val="Bullet 1"/>
    <w:basedOn w:val="Normal"/>
    <w:uiPriority w:val="2"/>
    <w:qFormat/>
    <w:rsid w:val="00430784"/>
    <w:pPr>
      <w:numPr>
        <w:numId w:val="5"/>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5"/>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5"/>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6"/>
      </w:numPr>
    </w:pPr>
    <w:rPr>
      <w:szCs w:val="22"/>
      <w:lang w:val="en"/>
    </w:rPr>
  </w:style>
  <w:style w:type="paragraph" w:customStyle="1" w:styleId="Bulletroman">
    <w:name w:val="Bullet roman"/>
    <w:basedOn w:val="bulletalpha"/>
    <w:qFormat/>
    <w:rsid w:val="00430784"/>
    <w:pPr>
      <w:numPr>
        <w:numId w:val="7"/>
      </w:numPr>
    </w:pPr>
  </w:style>
  <w:style w:type="paragraph" w:customStyle="1" w:styleId="Boxed1Bullet">
    <w:name w:val="Boxed 1 Bullet"/>
    <w:basedOn w:val="Boxed1Text"/>
    <w:uiPriority w:val="30"/>
    <w:qFormat/>
    <w:rsid w:val="00430784"/>
    <w:pPr>
      <w:numPr>
        <w:numId w:val="8"/>
      </w:numPr>
    </w:pPr>
  </w:style>
  <w:style w:type="paragraph" w:customStyle="1" w:styleId="Boxed2Bullet">
    <w:name w:val="Boxed 2 Bullet"/>
    <w:basedOn w:val="Normal"/>
    <w:uiPriority w:val="32"/>
    <w:qFormat/>
    <w:rsid w:val="00430784"/>
    <w:pPr>
      <w:numPr>
        <w:ilvl w:val="1"/>
        <w:numId w:val="8"/>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8"/>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9"/>
      </w:numPr>
    </w:pPr>
  </w:style>
  <w:style w:type="paragraph" w:customStyle="1" w:styleId="FigureTitle">
    <w:name w:val="Figure Title"/>
    <w:basedOn w:val="Normal"/>
    <w:uiPriority w:val="12"/>
    <w:qFormat/>
    <w:rsid w:val="00495C6A"/>
    <w:pPr>
      <w:keepNext/>
      <w:numPr>
        <w:numId w:val="10"/>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4"/>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1"/>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2"/>
      </w:numPr>
    </w:pPr>
  </w:style>
  <w:style w:type="paragraph" w:customStyle="1" w:styleId="TableTitle">
    <w:name w:val="Table Title"/>
    <w:basedOn w:val="FigureTitle"/>
    <w:uiPriority w:val="12"/>
    <w:qFormat/>
    <w:rsid w:val="00C45989"/>
    <w:pPr>
      <w:numPr>
        <w:numId w:val="13"/>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5"/>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CommentReference">
    <w:name w:val="annotation reference"/>
    <w:basedOn w:val="DefaultParagraphFont"/>
    <w:uiPriority w:val="99"/>
    <w:semiHidden/>
    <w:unhideWhenUsed/>
    <w:rsid w:val="00F574FC"/>
    <w:rPr>
      <w:sz w:val="16"/>
      <w:szCs w:val="16"/>
    </w:rPr>
  </w:style>
  <w:style w:type="paragraph" w:styleId="CommentText">
    <w:name w:val="annotation text"/>
    <w:basedOn w:val="Normal"/>
    <w:link w:val="CommentTextChar"/>
    <w:uiPriority w:val="99"/>
    <w:unhideWhenUsed/>
    <w:rsid w:val="00F574FC"/>
    <w:pPr>
      <w:spacing w:line="240" w:lineRule="auto"/>
    </w:pPr>
    <w:rPr>
      <w:sz w:val="20"/>
    </w:rPr>
  </w:style>
  <w:style w:type="character" w:customStyle="1" w:styleId="CommentTextChar">
    <w:name w:val="Comment Text Char"/>
    <w:basedOn w:val="DefaultParagraphFont"/>
    <w:link w:val="CommentText"/>
    <w:uiPriority w:val="99"/>
    <w:rsid w:val="00F574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574FC"/>
    <w:rPr>
      <w:b/>
      <w:bCs/>
    </w:rPr>
  </w:style>
  <w:style w:type="character" w:customStyle="1" w:styleId="CommentSubjectChar">
    <w:name w:val="Comment Subject Char"/>
    <w:basedOn w:val="CommentTextChar"/>
    <w:link w:val="CommentSubject"/>
    <w:uiPriority w:val="99"/>
    <w:semiHidden/>
    <w:rsid w:val="00F574FC"/>
    <w:rPr>
      <w:rFonts w:ascii="Calibri" w:eastAsia="Times New Roman" w:hAnsi="Calibri" w:cs="Times New Roman"/>
      <w:b/>
      <w:bCs/>
      <w:sz w:val="20"/>
      <w:szCs w:val="20"/>
    </w:rPr>
  </w:style>
  <w:style w:type="paragraph" w:styleId="TOCHeading">
    <w:name w:val="TOC Heading"/>
    <w:basedOn w:val="Heading1"/>
    <w:next w:val="Normal"/>
    <w:uiPriority w:val="39"/>
    <w:unhideWhenUsed/>
    <w:qFormat/>
    <w:rsid w:val="00B22DF5"/>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B22DF5"/>
    <w:pPr>
      <w:spacing w:after="100"/>
    </w:pPr>
  </w:style>
  <w:style w:type="paragraph" w:styleId="TOC2">
    <w:name w:val="toc 2"/>
    <w:basedOn w:val="Normal"/>
    <w:next w:val="Normal"/>
    <w:autoRedefine/>
    <w:uiPriority w:val="39"/>
    <w:unhideWhenUsed/>
    <w:rsid w:val="00B22DF5"/>
    <w:pPr>
      <w:spacing w:after="100"/>
      <w:ind w:left="220"/>
    </w:pPr>
  </w:style>
  <w:style w:type="paragraph" w:styleId="TOC3">
    <w:name w:val="toc 3"/>
    <w:basedOn w:val="Normal"/>
    <w:next w:val="Normal"/>
    <w:autoRedefine/>
    <w:uiPriority w:val="39"/>
    <w:unhideWhenUsed/>
    <w:rsid w:val="00B22DF5"/>
    <w:pPr>
      <w:spacing w:after="100"/>
      <w:ind w:left="440"/>
    </w:pPr>
  </w:style>
  <w:style w:type="paragraph" w:styleId="Revision">
    <w:name w:val="Revision"/>
    <w:hidden/>
    <w:uiPriority w:val="99"/>
    <w:semiHidden/>
    <w:rsid w:val="00036660"/>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6427">
      <w:bodyDiv w:val="1"/>
      <w:marLeft w:val="0"/>
      <w:marRight w:val="0"/>
      <w:marTop w:val="0"/>
      <w:marBottom w:val="0"/>
      <w:divBdr>
        <w:top w:val="none" w:sz="0" w:space="0" w:color="auto"/>
        <w:left w:val="none" w:sz="0" w:space="0" w:color="auto"/>
        <w:bottom w:val="none" w:sz="0" w:space="0" w:color="auto"/>
        <w:right w:val="none" w:sz="0" w:space="0" w:color="auto"/>
      </w:divBdr>
    </w:div>
    <w:div w:id="12077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ivilcconsultation@act.gov.au" TargetMode="External"/><Relationship Id="rId3" Type="http://schemas.openxmlformats.org/officeDocument/2006/relationships/customXml" Target="../customXml/item3.xml"/><Relationship Id="rId21" Type="http://schemas.openxmlformats.org/officeDocument/2006/relationships/hyperlink" Target="https://www.legislation.qld.gov.au/view/html/inforce/current/act-2019-00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ivilconsultation@act.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vic.gov.au/in-force/acts/ombudsman-act-1973/1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si/1998/3132/cont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qhrc.qld.gov.au/resources/submissions" TargetMode="External"/><Relationship Id="rId18" Type="http://schemas.openxmlformats.org/officeDocument/2006/relationships/hyperlink" Target="https://www.parliament.act.gov.au/__data/assets/pdf_file/0004/1990165/Submission-18-Nicholas-Bulbeck.pdf" TargetMode="External"/><Relationship Id="rId26" Type="http://schemas.openxmlformats.org/officeDocument/2006/relationships/hyperlink" Target="https://www.austlii.edu.au/cgi-bin/viewdoc/au/cases/act/ACTSC/2022/83.html" TargetMode="External"/><Relationship Id="rId3" Type="http://schemas.openxmlformats.org/officeDocument/2006/relationships/hyperlink" Target="https://www.legislation.qld.gov.au/view/html/inforce/current/act-2019-005" TargetMode="External"/><Relationship Id="rId21" Type="http://schemas.openxmlformats.org/officeDocument/2006/relationships/hyperlink" Target="https://www.parliament.act.gov.au/__data/assets/pdf_file/0010/1990153/Submission-06-ACT-Human-Rights-Commission.pdf" TargetMode="External"/><Relationship Id="rId34" Type="http://schemas.openxmlformats.org/officeDocument/2006/relationships/hyperlink" Target="https://www.austlii.edu.au/cgi-bin/viewdoc/au/cases/act/ACTSC/2005/52.html" TargetMode="External"/><Relationship Id="rId7" Type="http://schemas.openxmlformats.org/officeDocument/2006/relationships/hyperlink" Target="https://www.austlii.edu.au/cgi-bin/viewdoc/au/cases/act/ACAT/2020/36.html" TargetMode="External"/><Relationship Id="rId12" Type="http://schemas.openxmlformats.org/officeDocument/2006/relationships/hyperlink" Target="https://content.vic.gov.au/sites/default/files/2024-04/victorian-government-response-yoorrook-for-justice.pdf" TargetMode="External"/><Relationship Id="rId17" Type="http://schemas.openxmlformats.org/officeDocument/2006/relationships/hyperlink" Target="https://www.hansard.act.gov.au/Hansard/10th-assembly/Committee-transcripts/jacs20a.pdf" TargetMode="External"/><Relationship Id="rId25" Type="http://schemas.openxmlformats.org/officeDocument/2006/relationships/hyperlink" Target="Millington" TargetMode="External"/><Relationship Id="rId33" Type="http://schemas.openxmlformats.org/officeDocument/2006/relationships/hyperlink" Target="https://classic.austlii.edu.au/cgi-bin/sinodisp/au/cases/act/ACTSC/2024/112.html" TargetMode="External"/><Relationship Id="rId2" Type="http://schemas.openxmlformats.org/officeDocument/2006/relationships/hyperlink" Target="https://www.legislation.act.gov.au/a/2005-40" TargetMode="External"/><Relationship Id="rId16" Type="http://schemas.openxmlformats.org/officeDocument/2006/relationships/hyperlink" Target="https://www.austlii.edu.au/cgi-bin/viewdoc/au/cases/act/ACAT/2010/64.html" TargetMode="External"/><Relationship Id="rId20" Type="http://schemas.openxmlformats.org/officeDocument/2006/relationships/hyperlink" Target="https://www.parliament.act.gov.au/__data/assets/pdf_file/0006/1992660/Submission-26-Legal-Aid-ACT.pdf" TargetMode="External"/><Relationship Id="rId29" Type="http://schemas.openxmlformats.org/officeDocument/2006/relationships/hyperlink" Target="https://www.austlii.edu.au/cgi-bin/viewdoc/au/cases/act/ACTMC/2012/4.html" TargetMode="External"/><Relationship Id="rId1" Type="http://schemas.openxmlformats.org/officeDocument/2006/relationships/hyperlink" Target="https://epetitions.parliament.act.gov.au/details/032-21" TargetMode="External"/><Relationship Id="rId6" Type="http://schemas.openxmlformats.org/officeDocument/2006/relationships/hyperlink" Target="https://www.legislation.act.gov.au/View/a/2004-5/current/html/2004-5.html" TargetMode="External"/><Relationship Id="rId11" Type="http://schemas.openxmlformats.org/officeDocument/2006/relationships/hyperlink" Target="https://yoorrookforjustice.org.au/wp-content/uploads/2023/08/Yoorrook-for-justice-report.pdf" TargetMode="External"/><Relationship Id="rId24" Type="http://schemas.openxmlformats.org/officeDocument/2006/relationships/hyperlink" Target="https://www.austlii.edu.au/cgi-bin/viewdoc/au/cases/act/ACTSC/2022/83.html" TargetMode="External"/><Relationship Id="rId32" Type="http://schemas.openxmlformats.org/officeDocument/2006/relationships/hyperlink" Target="https://www.hrc.act.gov.au/__data/assets/pdf_file/0004/2306632/Look-Whos-Talking-Ten-Years-of-Dialogue-Under-the-Human-Rights-ACT-2014.pdf" TargetMode="External"/><Relationship Id="rId5" Type="http://schemas.openxmlformats.org/officeDocument/2006/relationships/hyperlink" Target="https://www.legislation.act.gov.au/View/a/2005-40/current/html/2005-40.html" TargetMode="External"/><Relationship Id="rId15" Type="http://schemas.openxmlformats.org/officeDocument/2006/relationships/hyperlink" Target="https://www.austlii.edu.au/cgi-bin/viewdoc/au/cases/act/ACAT/2009/38.html" TargetMode="External"/><Relationship Id="rId23" Type="http://schemas.openxmlformats.org/officeDocument/2006/relationships/hyperlink" Target="https://webarchive.nla.gov.au/awa/20030822114144/http:/www.jcs.act.gov.au/prd/rights/reports.html" TargetMode="External"/><Relationship Id="rId28" Type="http://schemas.openxmlformats.org/officeDocument/2006/relationships/hyperlink" Target="https://www.acat.act.gov.au/decisions/commissioner-for-social-housing-v-cook-residential-tenancies-2020-acat-36" TargetMode="External"/><Relationship Id="rId10" Type="http://schemas.openxmlformats.org/officeDocument/2006/relationships/hyperlink" Target="https://www.austlii.edu.au/cgi-bin/viewdoc/au/cases/act/ACAT/2024/30.html" TargetMode="External"/><Relationship Id="rId19" Type="http://schemas.openxmlformats.org/officeDocument/2006/relationships/hyperlink" Target="https://www.parliament.act.gov.au/__data/assets/pdf_file/0006/1990158/Submission-11-ACTCOSS.pdf" TargetMode="External"/><Relationship Id="rId31" Type="http://schemas.openxmlformats.org/officeDocument/2006/relationships/hyperlink" Target="https://www.austlii.edu.au/cgi-bin/viewdoc/au/cases/act/ACTSC/2014/26.html" TargetMode="External"/><Relationship Id="rId4" Type="http://schemas.openxmlformats.org/officeDocument/2006/relationships/hyperlink" Target="https://www.legislation.act.gov.au/a/2005-40" TargetMode="External"/><Relationship Id="rId9" Type="http://schemas.openxmlformats.org/officeDocument/2006/relationships/hyperlink" Target="https://www.austlii.edu.au/cgi-bin/viewdoc/au/cases/vic/VSC/2014/585.html" TargetMode="External"/><Relationship Id="rId14" Type="http://schemas.openxmlformats.org/officeDocument/2006/relationships/hyperlink" Target="https://www.parliament.qld.gov.au/Work-of-the-Assembly/Tabled-Papers/docs/5825T0232/5825t232.pdf" TargetMode="External"/><Relationship Id="rId22" Type="http://schemas.openxmlformats.org/officeDocument/2006/relationships/hyperlink" Target="https://classic.austlii.edu.au/cgi-bin/sinodisp/au/cases/act/ACTSC/2024/112.html" TargetMode="External"/><Relationship Id="rId27" Type="http://schemas.openxmlformats.org/officeDocument/2006/relationships/hyperlink" Target="https://www.austlii.edu.au/cgi-bin/viewdoc/au/cases/act/ACTSC/2010/147.html" TargetMode="External"/><Relationship Id="rId30" Type="http://schemas.openxmlformats.org/officeDocument/2006/relationships/hyperlink" Target="https://www.austlii.edu.au/cgi-bin/viewdoc/au/cases/act/ACTSC/2014/26.html" TargetMode="External"/><Relationship Id="rId8" Type="http://schemas.openxmlformats.org/officeDocument/2006/relationships/hyperlink" Target="https://www.austlii.edu.au/cgi-bin/viewdoc/au/cases/act/ACAT/2024/30.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FBFDEEAF-834E-4032-84FE-27BFFB7CC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www.w3.org/XML/1998/namespace"/>
    <ds:schemaRef ds:uri="http://purl.org/dc/terms/"/>
    <ds:schemaRef ds:uri="http://schemas.microsoft.com/office/2006/metadata/properties"/>
    <ds:schemaRef ds:uri="http://purl.org/dc/dcmitype/"/>
    <ds:schemaRef ds:uri="http://purl.org/dc/elements/1.1/"/>
    <ds:schemaRef ds:uri="f6c841be-bb08-4901-87b0-0033aa80d2c6"/>
    <ds:schemaRef ds:uri="http://schemas.microsoft.com/office/2006/documentManagement/types"/>
    <ds:schemaRef ds:uri="http://schemas.microsoft.com/office/infopath/2007/PartnerControls"/>
    <ds:schemaRef ds:uri="http://schemas.openxmlformats.org/package/2006/metadata/core-properties"/>
    <ds:schemaRef ds:uri="4d47241e-7224-40da-83d9-1113ff4a433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6007</Words>
  <Characters>30821</Characters>
  <Application>Microsoft Office Word</Application>
  <DocSecurity>2</DocSecurity>
  <Lines>531</Lines>
  <Paragraphs>261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Crystal Bevan</cp:lastModifiedBy>
  <cp:revision>12</cp:revision>
  <cp:lastPrinted>2019-06-13T01:11:00Z</cp:lastPrinted>
  <dcterms:created xsi:type="dcterms:W3CDTF">2026-04-30T01:44:00Z</dcterms:created>
  <dcterms:modified xsi:type="dcterms:W3CDTF">2026-06-17T06:06:00Z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