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2B2A5" w14:textId="3A65D34B" w:rsidR="008C0026" w:rsidRDefault="003F1D70" w:rsidP="00856708">
      <w:pPr>
        <w:pStyle w:val="BlankLine"/>
      </w:pPr>
      <w:r w:rsidRPr="00CE6C23">
        <w:rPr>
          <w:highlight w:val="yellow"/>
        </w:rPr>
        <w:t>[INSERT SCHOOL LOGO</w:t>
      </w:r>
      <w:r w:rsidR="00CE6C23" w:rsidRPr="00CE6C23">
        <w:rPr>
          <w:highlight w:val="yellow"/>
        </w:rPr>
        <w:t xml:space="preserve"> OR LETTERHEAD</w:t>
      </w:r>
      <w:r w:rsidRPr="00CE6C23">
        <w:rPr>
          <w:highlight w:val="yellow"/>
        </w:rPr>
        <w:t>]</w:t>
      </w:r>
    </w:p>
    <w:p w14:paraId="0A5C097C" w14:textId="77777777" w:rsidR="004942BA" w:rsidRDefault="004942BA" w:rsidP="00856708">
      <w:pPr>
        <w:pStyle w:val="BlankLine"/>
      </w:pPr>
    </w:p>
    <w:p w14:paraId="6618FF38" w14:textId="77777777" w:rsidR="004942BA" w:rsidRDefault="004942BA" w:rsidP="00AA097E">
      <w:pPr>
        <w:pStyle w:val="Heading1"/>
        <w:rPr>
          <w:rStyle w:val="Strong"/>
          <w:bCs/>
        </w:rPr>
      </w:pPr>
    </w:p>
    <w:p w14:paraId="680402F9" w14:textId="77777777" w:rsidR="008C0026" w:rsidRPr="00AA097E" w:rsidRDefault="00BB38C6" w:rsidP="00AA097E">
      <w:pPr>
        <w:pStyle w:val="Heading1"/>
      </w:pPr>
      <w:r w:rsidRPr="00AA097E">
        <w:rPr>
          <w:rStyle w:val="Strong"/>
          <w:bCs/>
        </w:rPr>
        <w:t xml:space="preserve">Policy title: </w:t>
      </w:r>
      <w:r w:rsidR="006B0F15">
        <w:rPr>
          <w:rStyle w:val="Strong"/>
          <w:bCs/>
        </w:rPr>
        <w:t>[</w:t>
      </w:r>
      <w:r w:rsidR="006B0F15" w:rsidRPr="005478DC">
        <w:rPr>
          <w:rStyle w:val="Strong"/>
          <w:bCs/>
          <w:highlight w:val="yellow"/>
        </w:rPr>
        <w:t>INSERT SCHOOL NAME]</w:t>
      </w:r>
      <w:r w:rsidR="006B0F15">
        <w:rPr>
          <w:rStyle w:val="Strong"/>
          <w:bCs/>
        </w:rPr>
        <w:t xml:space="preserve"> </w:t>
      </w:r>
      <w:r w:rsidR="001271CE" w:rsidRPr="00AA097E">
        <w:rPr>
          <w:rStyle w:val="Strong"/>
          <w:bCs/>
        </w:rPr>
        <w:t>FOOD AND DRINK</w:t>
      </w:r>
      <w:r w:rsidR="001271CE" w:rsidRPr="00AA097E">
        <w:t xml:space="preserve"> </w:t>
      </w:r>
      <w:r w:rsidR="00546686" w:rsidRPr="00AA097E">
        <w:t xml:space="preserve">POLICY </w:t>
      </w:r>
    </w:p>
    <w:p w14:paraId="7CF2FF6B" w14:textId="7853566A" w:rsidR="008C0026" w:rsidRPr="00AA097E" w:rsidRDefault="009C036F" w:rsidP="00AA097E">
      <w:pPr>
        <w:pStyle w:val="Heading1"/>
      </w:pPr>
      <w:r w:rsidRPr="00AA097E">
        <w:rPr>
          <w:rStyle w:val="Strong"/>
          <w:bCs/>
        </w:rPr>
        <w:t>Published:</w:t>
      </w:r>
      <w:bookmarkStart w:id="0" w:name="Text1"/>
      <w:r w:rsidR="00BB38C6" w:rsidRPr="00AA097E">
        <w:t xml:space="preserve">  </w:t>
      </w:r>
      <w:bookmarkEnd w:id="0"/>
      <w:r w:rsidR="00CE6C23" w:rsidRPr="00CE6C23">
        <w:rPr>
          <w:highlight w:val="yellow"/>
        </w:rPr>
        <w:t>[INSERT DATE]</w:t>
      </w:r>
    </w:p>
    <w:p w14:paraId="113D9A78" w14:textId="77777777" w:rsidR="009C036F" w:rsidRPr="00AA097E" w:rsidRDefault="009C036F" w:rsidP="00AA097E">
      <w:pPr>
        <w:pStyle w:val="Heading1"/>
      </w:pPr>
      <w:r w:rsidRPr="00AA097E">
        <w:rPr>
          <w:rStyle w:val="Strong"/>
          <w:bCs/>
        </w:rPr>
        <w:t>Identifier:</w:t>
      </w:r>
      <w:r w:rsidR="00BB38C6" w:rsidRPr="00AA097E">
        <w:t xml:space="preserve">  </w:t>
      </w:r>
    </w:p>
    <w:p w14:paraId="035BA4F8" w14:textId="77777777" w:rsidR="00974D79" w:rsidRPr="005478DC" w:rsidRDefault="00265206" w:rsidP="00AA097E">
      <w:pPr>
        <w:pStyle w:val="Heading1"/>
        <w:rPr>
          <w:rStyle w:val="Strong"/>
          <w:b w:val="0"/>
        </w:rPr>
      </w:pPr>
      <w:r w:rsidRPr="00AA097E">
        <w:rPr>
          <w:rStyle w:val="Strong"/>
          <w:bCs/>
        </w:rPr>
        <w:t xml:space="preserve">                </w:t>
      </w:r>
      <w:r w:rsidR="005478DC">
        <w:rPr>
          <w:rStyle w:val="Strong"/>
          <w:bCs/>
        </w:rPr>
        <w:tab/>
      </w:r>
      <w:r w:rsidR="00196D0A" w:rsidRPr="005478DC">
        <w:rPr>
          <w:rStyle w:val="Strong"/>
          <w:b w:val="0"/>
          <w:bCs/>
        </w:rPr>
        <w:t>Legislation:</w:t>
      </w:r>
      <w:r w:rsidR="00196D0A" w:rsidRPr="005478DC">
        <w:rPr>
          <w:rStyle w:val="Strong"/>
          <w:b w:val="0"/>
        </w:rPr>
        <w:t xml:space="preserve">  </w:t>
      </w:r>
      <w:r w:rsidR="007C0C48" w:rsidRPr="005478DC">
        <w:rPr>
          <w:b w:val="0"/>
        </w:rPr>
        <w:t xml:space="preserve">                                       </w:t>
      </w:r>
      <w:r w:rsidR="007C0C48" w:rsidRPr="005478DC">
        <w:rPr>
          <w:b w:val="0"/>
        </w:rPr>
        <w:tab/>
      </w:r>
      <w:r w:rsidR="007C0C48" w:rsidRPr="005478DC">
        <w:rPr>
          <w:b w:val="0"/>
        </w:rPr>
        <w:tab/>
      </w:r>
    </w:p>
    <w:p w14:paraId="6DD47A7C" w14:textId="77777777" w:rsidR="00856708" w:rsidRPr="00AA097E" w:rsidRDefault="007C0C48" w:rsidP="005478A4">
      <w:pPr>
        <w:numPr>
          <w:ilvl w:val="0"/>
          <w:numId w:val="0"/>
        </w:numPr>
        <w:tabs>
          <w:tab w:val="left" w:pos="851"/>
          <w:tab w:val="left" w:pos="1985"/>
          <w:tab w:val="left" w:pos="2160"/>
        </w:tabs>
        <w:rPr>
          <w:rStyle w:val="Emphasis"/>
        </w:rPr>
      </w:pPr>
      <w:r w:rsidRPr="007C0C48">
        <w:rPr>
          <w:bCs/>
          <w:i/>
        </w:rPr>
        <w:tab/>
      </w:r>
      <w:r w:rsidRPr="007C0C48">
        <w:rPr>
          <w:bCs/>
          <w:i/>
        </w:rPr>
        <w:tab/>
      </w:r>
      <w:r w:rsidRPr="007C0C48">
        <w:rPr>
          <w:bCs/>
          <w:i/>
        </w:rPr>
        <w:tab/>
      </w:r>
      <w:r w:rsidRPr="00AA097E">
        <w:rPr>
          <w:rStyle w:val="Emphasis"/>
        </w:rPr>
        <w:t>Food Act 2001 (ACT)</w:t>
      </w:r>
      <w:r w:rsidRPr="00AA097E">
        <w:rPr>
          <w:rStyle w:val="Emphasis"/>
        </w:rPr>
        <w:tab/>
      </w:r>
      <w:r w:rsidRPr="00AA097E">
        <w:rPr>
          <w:rStyle w:val="Emphasis"/>
        </w:rPr>
        <w:tab/>
      </w:r>
      <w:r w:rsidRPr="00AA097E">
        <w:rPr>
          <w:rStyle w:val="Emphasis"/>
        </w:rPr>
        <w:tab/>
      </w:r>
    </w:p>
    <w:p w14:paraId="0B6BD053" w14:textId="77777777" w:rsidR="00207C8A" w:rsidRPr="00AA097E" w:rsidRDefault="007C0C48">
      <w:pPr>
        <w:numPr>
          <w:ilvl w:val="0"/>
          <w:numId w:val="0"/>
        </w:numPr>
        <w:tabs>
          <w:tab w:val="left" w:pos="851"/>
          <w:tab w:val="left" w:pos="1985"/>
          <w:tab w:val="left" w:pos="2160"/>
        </w:tabs>
        <w:rPr>
          <w:rStyle w:val="Emphasis"/>
        </w:rPr>
      </w:pPr>
      <w:r w:rsidRPr="00AA097E">
        <w:rPr>
          <w:rStyle w:val="Emphasis"/>
        </w:rPr>
        <w:tab/>
      </w:r>
      <w:r w:rsidRPr="00AA097E">
        <w:rPr>
          <w:rStyle w:val="Emphasis"/>
        </w:rPr>
        <w:tab/>
      </w:r>
      <w:r w:rsidRPr="00AA097E">
        <w:rPr>
          <w:rStyle w:val="Emphasis"/>
        </w:rPr>
        <w:tab/>
        <w:t xml:space="preserve">Australia New Zealand Food Standards Code (Cth) </w:t>
      </w:r>
    </w:p>
    <w:p w14:paraId="4223BB92" w14:textId="77777777" w:rsidR="00E02A8C" w:rsidRPr="00AA097E" w:rsidRDefault="007C0C48" w:rsidP="00E02A8C">
      <w:pPr>
        <w:numPr>
          <w:ilvl w:val="0"/>
          <w:numId w:val="0"/>
        </w:numPr>
        <w:tabs>
          <w:tab w:val="left" w:pos="851"/>
          <w:tab w:val="left" w:pos="1985"/>
          <w:tab w:val="left" w:pos="2160"/>
        </w:tabs>
        <w:rPr>
          <w:rStyle w:val="Emphasis"/>
        </w:rPr>
      </w:pPr>
      <w:r w:rsidRPr="00AA097E">
        <w:rPr>
          <w:rStyle w:val="Emphasis"/>
        </w:rPr>
        <w:t xml:space="preserve">                </w:t>
      </w:r>
      <w:r w:rsidRPr="00AA097E">
        <w:rPr>
          <w:rStyle w:val="Emphasis"/>
        </w:rPr>
        <w:tab/>
      </w:r>
      <w:r w:rsidRPr="00AA097E">
        <w:rPr>
          <w:rStyle w:val="Emphasis"/>
        </w:rPr>
        <w:tab/>
      </w:r>
      <w:r w:rsidRPr="00AA097E">
        <w:rPr>
          <w:rStyle w:val="Emphasis"/>
        </w:rPr>
        <w:tab/>
      </w:r>
      <w:r w:rsidR="0038764B" w:rsidRPr="00AA097E">
        <w:rPr>
          <w:rStyle w:val="Emphasis"/>
        </w:rPr>
        <w:t>Fair Work Act 2009</w:t>
      </w:r>
    </w:p>
    <w:p w14:paraId="6FDFAB73" w14:textId="77777777" w:rsidR="00306D7A" w:rsidRPr="00AA097E" w:rsidRDefault="00306D7A" w:rsidP="00E51998">
      <w:pPr>
        <w:numPr>
          <w:ilvl w:val="0"/>
          <w:numId w:val="0"/>
        </w:numPr>
        <w:tabs>
          <w:tab w:val="left" w:pos="2160"/>
        </w:tabs>
        <w:ind w:left="2160"/>
        <w:rPr>
          <w:rStyle w:val="Emphasis"/>
        </w:rPr>
      </w:pPr>
      <w:r w:rsidRPr="00AA097E">
        <w:rPr>
          <w:rStyle w:val="Emphasis"/>
        </w:rPr>
        <w:t>Food Regulation 2002 (ACT)</w:t>
      </w:r>
    </w:p>
    <w:p w14:paraId="72C14BB1" w14:textId="77777777" w:rsidR="002F2D56" w:rsidRPr="00AA097E" w:rsidRDefault="007C0C48">
      <w:pPr>
        <w:numPr>
          <w:ilvl w:val="0"/>
          <w:numId w:val="0"/>
        </w:numPr>
        <w:tabs>
          <w:tab w:val="left" w:pos="2160"/>
        </w:tabs>
        <w:ind w:left="2160"/>
        <w:rPr>
          <w:rStyle w:val="Emphasis"/>
        </w:rPr>
      </w:pPr>
      <w:r w:rsidRPr="00AA097E">
        <w:rPr>
          <w:rStyle w:val="Emphasis"/>
        </w:rPr>
        <w:t>Education and Care Services National Law (ACT) Act 2011</w:t>
      </w:r>
    </w:p>
    <w:p w14:paraId="7C81BB4F" w14:textId="77777777" w:rsidR="00207C8A" w:rsidRPr="00AA097E" w:rsidRDefault="007C0C48">
      <w:pPr>
        <w:numPr>
          <w:ilvl w:val="0"/>
          <w:numId w:val="0"/>
        </w:numPr>
        <w:tabs>
          <w:tab w:val="left" w:pos="2160"/>
        </w:tabs>
        <w:rPr>
          <w:rStyle w:val="Emphasis"/>
        </w:rPr>
      </w:pPr>
      <w:r w:rsidRPr="00AA097E">
        <w:rPr>
          <w:rStyle w:val="Emphasis"/>
        </w:rPr>
        <w:tab/>
        <w:t>Children and Young People</w:t>
      </w:r>
      <w:r w:rsidR="002F2D56" w:rsidRPr="00AA097E">
        <w:rPr>
          <w:rStyle w:val="Emphasis"/>
        </w:rPr>
        <w:t>(</w:t>
      </w:r>
      <w:r w:rsidR="00546686" w:rsidRPr="00AA097E">
        <w:rPr>
          <w:rStyle w:val="Emphasis"/>
        </w:rPr>
        <w:t>ACT)</w:t>
      </w:r>
      <w:r w:rsidR="002F2D56" w:rsidRPr="00AA097E">
        <w:rPr>
          <w:rStyle w:val="Emphasis"/>
        </w:rPr>
        <w:t xml:space="preserve"> Act </w:t>
      </w:r>
      <w:r w:rsidRPr="00AA097E">
        <w:rPr>
          <w:rStyle w:val="Emphasis"/>
        </w:rPr>
        <w:t>2008</w:t>
      </w:r>
    </w:p>
    <w:p w14:paraId="17FBC933" w14:textId="77777777" w:rsidR="00207C8A" w:rsidRDefault="007C0C48">
      <w:pPr>
        <w:numPr>
          <w:ilvl w:val="0"/>
          <w:numId w:val="0"/>
        </w:numPr>
        <w:tabs>
          <w:tab w:val="left" w:pos="2160"/>
        </w:tabs>
        <w:rPr>
          <w:i/>
        </w:rPr>
      </w:pPr>
      <w:r w:rsidRPr="00AA097E">
        <w:rPr>
          <w:rStyle w:val="Emphasis"/>
        </w:rPr>
        <w:tab/>
        <w:t xml:space="preserve">Working with Vulnerable People (Background Checking) </w:t>
      </w:r>
      <w:r w:rsidR="00546686" w:rsidRPr="00AA097E">
        <w:rPr>
          <w:rStyle w:val="Emphasis"/>
        </w:rPr>
        <w:t>ACT)</w:t>
      </w:r>
      <w:r w:rsidRPr="00AA097E">
        <w:rPr>
          <w:rStyle w:val="Emphasis"/>
        </w:rPr>
        <w:t xml:space="preserve"> 2011</w:t>
      </w:r>
    </w:p>
    <w:p w14:paraId="31627AFA" w14:textId="77777777" w:rsidR="00856708" w:rsidRPr="00856708" w:rsidRDefault="00856708" w:rsidP="00AA097E">
      <w:pPr>
        <w:pStyle w:val="Heading2"/>
      </w:pPr>
    </w:p>
    <w:p w14:paraId="2A148D4E" w14:textId="77777777" w:rsidR="00207C8A" w:rsidRDefault="00265206" w:rsidP="00AA097E">
      <w:pPr>
        <w:pStyle w:val="Heading1"/>
      </w:pPr>
      <w:r>
        <w:t>Supporting documents</w:t>
      </w:r>
      <w:r w:rsidR="008E5D06">
        <w:t>:</w:t>
      </w:r>
    </w:p>
    <w:p w14:paraId="00D225BB" w14:textId="19594F47" w:rsidR="00856708" w:rsidRPr="0006094C" w:rsidRDefault="007C0C48" w:rsidP="003F1D70">
      <w:pPr>
        <w:pStyle w:val="ListParagraph"/>
        <w:numPr>
          <w:ilvl w:val="0"/>
          <w:numId w:val="3"/>
        </w:numPr>
        <w:rPr>
          <w:i/>
        </w:rPr>
      </w:pPr>
      <w:r w:rsidRPr="007C0C48">
        <w:rPr>
          <w:i/>
        </w:rPr>
        <w:t>Australian Dietary Guidelines 2013</w:t>
      </w:r>
      <w:r w:rsidR="003F1D70">
        <w:rPr>
          <w:i/>
        </w:rPr>
        <w:br/>
        <w:t xml:space="preserve">Website: </w:t>
      </w:r>
      <w:hyperlink r:id="rId8" w:history="1">
        <w:r w:rsidR="003F1D70" w:rsidRPr="008B6006">
          <w:rPr>
            <w:rStyle w:val="Hyperlink"/>
            <w:i/>
          </w:rPr>
          <w:t>www.eatforhealth.gov.au</w:t>
        </w:r>
      </w:hyperlink>
      <w:r w:rsidR="003F1D70">
        <w:rPr>
          <w:i/>
        </w:rPr>
        <w:t xml:space="preserve"> </w:t>
      </w:r>
    </w:p>
    <w:p w14:paraId="18FE271D" w14:textId="03CEBC54" w:rsidR="00D642E3" w:rsidRDefault="007C0C48" w:rsidP="00C174BA">
      <w:pPr>
        <w:pStyle w:val="ListParagraph"/>
        <w:numPr>
          <w:ilvl w:val="0"/>
          <w:numId w:val="3"/>
        </w:numPr>
        <w:rPr>
          <w:i/>
        </w:rPr>
      </w:pPr>
      <w:r w:rsidRPr="007C0C48">
        <w:rPr>
          <w:i/>
        </w:rPr>
        <w:t xml:space="preserve">National Healthy School Canteens: Guidelines for healthy foods and drinks supplied in school canteens  </w:t>
      </w:r>
      <w:r w:rsidR="004B1736">
        <w:rPr>
          <w:i/>
        </w:rPr>
        <w:t xml:space="preserve">2013 </w:t>
      </w:r>
      <w:r w:rsidR="004B1736" w:rsidRPr="003B694C">
        <w:t>(National Healthy School Canteen Guidelines</w:t>
      </w:r>
      <w:r w:rsidR="004B1736">
        <w:t>)</w:t>
      </w:r>
      <w:r w:rsidR="003F1D70">
        <w:br/>
      </w:r>
      <w:r w:rsidR="003F1D70">
        <w:rPr>
          <w:i/>
        </w:rPr>
        <w:t xml:space="preserve">Website: </w:t>
      </w:r>
      <w:hyperlink r:id="rId9" w:history="1">
        <w:r w:rsidR="003F1D70" w:rsidRPr="008B6006">
          <w:rPr>
            <w:rStyle w:val="Hyperlink"/>
            <w:i/>
          </w:rPr>
          <w:t>www.health.gov.au</w:t>
        </w:r>
      </w:hyperlink>
      <w:r w:rsidR="003F1D70">
        <w:rPr>
          <w:i/>
        </w:rPr>
        <w:t xml:space="preserve"> </w:t>
      </w:r>
    </w:p>
    <w:p w14:paraId="692F5581" w14:textId="0D3DF38B" w:rsidR="00D642E3" w:rsidRDefault="00D642E3" w:rsidP="00C174BA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 xml:space="preserve">ACT Public School Food and Drink </w:t>
      </w:r>
      <w:r w:rsidR="0006094C">
        <w:rPr>
          <w:i/>
        </w:rPr>
        <w:t>Policy implementation support materials</w:t>
      </w:r>
      <w:r w:rsidR="003F1D70">
        <w:rPr>
          <w:i/>
        </w:rPr>
        <w:br/>
        <w:t xml:space="preserve">Website: </w:t>
      </w:r>
      <w:hyperlink r:id="rId10" w:history="1">
        <w:r w:rsidR="003F1D70" w:rsidRPr="008B6006">
          <w:rPr>
            <w:rStyle w:val="Hyperlink"/>
            <w:i/>
          </w:rPr>
          <w:t>www.education.act.gov.au</w:t>
        </w:r>
      </w:hyperlink>
      <w:r w:rsidR="003F1D70">
        <w:rPr>
          <w:i/>
        </w:rPr>
        <w:t xml:space="preserve"> </w:t>
      </w:r>
      <w:r w:rsidR="00F9316B">
        <w:rPr>
          <w:i/>
        </w:rPr>
        <w:t>(search food and drink guidelines)</w:t>
      </w:r>
    </w:p>
    <w:p w14:paraId="201A1757" w14:textId="77777777" w:rsidR="006A79A3" w:rsidRPr="006A79A3" w:rsidRDefault="006A79A3" w:rsidP="006A79A3">
      <w:pPr>
        <w:numPr>
          <w:ilvl w:val="0"/>
          <w:numId w:val="0"/>
        </w:numPr>
        <w:ind w:left="851" w:hanging="851"/>
        <w:rPr>
          <w:i/>
        </w:rPr>
      </w:pPr>
    </w:p>
    <w:p w14:paraId="23FE2066" w14:textId="77777777" w:rsidR="006A79A3" w:rsidRDefault="006A79A3" w:rsidP="006A79A3">
      <w:pPr>
        <w:pStyle w:val="Heading2"/>
      </w:pPr>
      <w:r>
        <w:t>PURPOSE</w:t>
      </w:r>
    </w:p>
    <w:p w14:paraId="672DC0F2" w14:textId="77777777" w:rsidR="006A79A3" w:rsidRPr="006A79A3" w:rsidRDefault="006A79A3" w:rsidP="006A79A3">
      <w:pPr>
        <w:numPr>
          <w:ilvl w:val="0"/>
          <w:numId w:val="0"/>
        </w:numPr>
        <w:ind w:left="851"/>
      </w:pPr>
    </w:p>
    <w:p w14:paraId="614FE039" w14:textId="465D72A3" w:rsidR="00472979" w:rsidRDefault="00F9316B" w:rsidP="008B7255">
      <w:pPr>
        <w:numPr>
          <w:ilvl w:val="0"/>
          <w:numId w:val="0"/>
        </w:numPr>
        <w:ind w:left="851"/>
      </w:pPr>
      <w:r>
        <w:rPr>
          <w:bCs/>
        </w:rPr>
        <w:t xml:space="preserve">Our school </w:t>
      </w:r>
      <w:r w:rsidR="00472979" w:rsidRPr="0019760C">
        <w:rPr>
          <w:bCs/>
        </w:rPr>
        <w:t xml:space="preserve">recognises that </w:t>
      </w:r>
      <w:r w:rsidR="00472979">
        <w:t>c</w:t>
      </w:r>
      <w:r w:rsidR="00472979" w:rsidRPr="00F9795B">
        <w:t>hildh</w:t>
      </w:r>
      <w:r w:rsidR="00472979">
        <w:t>ood is a time when attitudes about</w:t>
      </w:r>
      <w:r w:rsidR="00472979" w:rsidRPr="00F9795B">
        <w:t xml:space="preserve"> food and eating behaviours are formed</w:t>
      </w:r>
      <w:r w:rsidR="00472979">
        <w:t>.</w:t>
      </w:r>
      <w:r w:rsidR="00472979" w:rsidRPr="0019760C">
        <w:rPr>
          <w:bCs/>
        </w:rPr>
        <w:t xml:space="preserve"> </w:t>
      </w:r>
      <w:r w:rsidR="00472979" w:rsidRPr="00F9795B">
        <w:t>Once a child begins school, the school environment plays a role in influencing children’s food preferences.</w:t>
      </w:r>
    </w:p>
    <w:p w14:paraId="5059E284" w14:textId="77777777" w:rsidR="00472979" w:rsidRDefault="00472979" w:rsidP="008B7255">
      <w:pPr>
        <w:numPr>
          <w:ilvl w:val="0"/>
          <w:numId w:val="0"/>
        </w:numPr>
        <w:ind w:left="851"/>
      </w:pPr>
    </w:p>
    <w:p w14:paraId="2353CCCE" w14:textId="0CF64E2E" w:rsidR="00472979" w:rsidRDefault="00F9316B" w:rsidP="008B7255">
      <w:pPr>
        <w:numPr>
          <w:ilvl w:val="0"/>
          <w:numId w:val="0"/>
        </w:numPr>
        <w:ind w:left="851"/>
        <w:rPr>
          <w:rFonts w:cs="ArialNarrow"/>
        </w:rPr>
      </w:pPr>
      <w:r>
        <w:rPr>
          <w:rFonts w:cs="ArialNarrow"/>
        </w:rPr>
        <w:t xml:space="preserve">Our school is </w:t>
      </w:r>
      <w:r w:rsidR="006A79A3" w:rsidRPr="006A79A3">
        <w:rPr>
          <w:rFonts w:cs="ArialNarrow"/>
        </w:rPr>
        <w:t>committed to developing the spiritual, physical, emotional and intellectual welfare of its students.</w:t>
      </w:r>
      <w:r w:rsidR="008B7255">
        <w:rPr>
          <w:rFonts w:cs="ArialNarrow"/>
        </w:rPr>
        <w:t xml:space="preserve"> </w:t>
      </w:r>
      <w:r w:rsidR="00472979">
        <w:rPr>
          <w:rFonts w:cs="ArialNarrow"/>
        </w:rPr>
        <w:t xml:space="preserve"> We are proud to </w:t>
      </w:r>
      <w:r w:rsidR="00472979">
        <w:t xml:space="preserve">promote and model healthy eating and good nutrition in school programs and in school canteens. This reinforces the teaching about nutrition that </w:t>
      </w:r>
      <w:r w:rsidR="00472979" w:rsidRPr="00974D79">
        <w:rPr>
          <w:rFonts w:asciiTheme="minorHAnsi" w:hAnsiTheme="minorHAnsi"/>
          <w:bCs/>
        </w:rPr>
        <w:t xml:space="preserve">is taught as part of the </w:t>
      </w:r>
      <w:r w:rsidR="00472979" w:rsidRPr="00F9316B">
        <w:rPr>
          <w:rFonts w:asciiTheme="minorHAnsi" w:hAnsiTheme="minorHAnsi"/>
          <w:bCs/>
          <w:i/>
        </w:rPr>
        <w:t>Australian Curriculum</w:t>
      </w:r>
      <w:r w:rsidR="00472979">
        <w:rPr>
          <w:rFonts w:asciiTheme="minorHAnsi" w:hAnsiTheme="minorHAnsi"/>
          <w:bCs/>
        </w:rPr>
        <w:t xml:space="preserve"> and contributes to the health and wellbeing of the school community.  </w:t>
      </w:r>
    </w:p>
    <w:p w14:paraId="60E4AF0F" w14:textId="77777777" w:rsidR="00472979" w:rsidRDefault="00472979" w:rsidP="008B7255">
      <w:pPr>
        <w:numPr>
          <w:ilvl w:val="0"/>
          <w:numId w:val="0"/>
        </w:numPr>
        <w:ind w:left="851"/>
        <w:rPr>
          <w:rFonts w:cs="ArialNarrow"/>
        </w:rPr>
      </w:pPr>
    </w:p>
    <w:p w14:paraId="401CC371" w14:textId="77777777" w:rsidR="008B7255" w:rsidRDefault="00472979" w:rsidP="008B7255">
      <w:pPr>
        <w:numPr>
          <w:ilvl w:val="0"/>
          <w:numId w:val="0"/>
        </w:numPr>
        <w:ind w:left="851"/>
        <w:rPr>
          <w:rFonts w:cs="ArialNarrow"/>
        </w:rPr>
      </w:pPr>
      <w:r>
        <w:rPr>
          <w:rFonts w:cs="ArialNarrow"/>
        </w:rPr>
        <w:t>T</w:t>
      </w:r>
      <w:r w:rsidR="008B7255" w:rsidRPr="006A79A3">
        <w:rPr>
          <w:rFonts w:cs="ArialNarrow"/>
        </w:rPr>
        <w:t xml:space="preserve">his policy </w:t>
      </w:r>
      <w:r w:rsidR="008B7255">
        <w:rPr>
          <w:rFonts w:cs="ArialNarrow"/>
        </w:rPr>
        <w:t xml:space="preserve">has </w:t>
      </w:r>
      <w:r w:rsidR="008B7255">
        <w:t xml:space="preserve">been adapted from the </w:t>
      </w:r>
      <w:r w:rsidR="008B7255" w:rsidRPr="00F9316B">
        <w:rPr>
          <w:i/>
        </w:rPr>
        <w:t>ACT Public School Food and Drink Policy</w:t>
      </w:r>
      <w:r w:rsidR="008B7255" w:rsidRPr="006A79A3">
        <w:rPr>
          <w:rFonts w:cs="ArialNarrow"/>
        </w:rPr>
        <w:t xml:space="preserve"> </w:t>
      </w:r>
      <w:r w:rsidR="008B7255">
        <w:rPr>
          <w:rFonts w:cs="ArialNarrow"/>
        </w:rPr>
        <w:t xml:space="preserve">and </w:t>
      </w:r>
      <w:r w:rsidR="008B7255" w:rsidRPr="006A79A3">
        <w:rPr>
          <w:rFonts w:cs="ArialNarrow"/>
        </w:rPr>
        <w:t xml:space="preserve">provides a framework to promote a consistent, whole school approach to the provision and sale of healthy food and drinks in ACT independent schools.  </w:t>
      </w:r>
    </w:p>
    <w:p w14:paraId="2A829C98" w14:textId="77777777" w:rsidR="008E5D06" w:rsidRPr="00856708" w:rsidRDefault="008E5D06" w:rsidP="00AA097E">
      <w:pPr>
        <w:pStyle w:val="Heading2"/>
      </w:pPr>
    </w:p>
    <w:p w14:paraId="6FBE4530" w14:textId="77777777" w:rsidR="007C0C48" w:rsidRPr="007C0C48" w:rsidRDefault="008C0026" w:rsidP="00AA097E">
      <w:pPr>
        <w:pStyle w:val="Heading2"/>
      </w:pPr>
      <w:r w:rsidRPr="000C3842">
        <w:t>POLICY STATEMENT</w:t>
      </w:r>
      <w:r w:rsidR="008A4C65">
        <w:t xml:space="preserve"> </w:t>
      </w:r>
    </w:p>
    <w:p w14:paraId="717137B3" w14:textId="77777777" w:rsidR="007C0C48" w:rsidRDefault="007C0C48" w:rsidP="007C0C48">
      <w:pPr>
        <w:numPr>
          <w:ilvl w:val="0"/>
          <w:numId w:val="0"/>
        </w:numPr>
        <w:rPr>
          <w:bCs/>
        </w:rPr>
      </w:pPr>
    </w:p>
    <w:p w14:paraId="1F72B235" w14:textId="77777777" w:rsidR="00AA507B" w:rsidRPr="00AA507B" w:rsidRDefault="006B0F15" w:rsidP="00AA507B">
      <w:r>
        <w:t xml:space="preserve">The </w:t>
      </w:r>
      <w:r w:rsidR="009B0AC2" w:rsidRPr="00AA507B">
        <w:t xml:space="preserve">Principal </w:t>
      </w:r>
      <w:r>
        <w:t xml:space="preserve">is </w:t>
      </w:r>
      <w:r w:rsidR="009B0AC2" w:rsidRPr="00AA097E">
        <w:t xml:space="preserve">responsible for ensuring that </w:t>
      </w:r>
      <w:r w:rsidR="001B2F38" w:rsidRPr="00AA097E">
        <w:t xml:space="preserve">the </w:t>
      </w:r>
      <w:r w:rsidR="006C7B27" w:rsidRPr="005478DC">
        <w:rPr>
          <w:i/>
        </w:rPr>
        <w:t>National Healthy School Canteen</w:t>
      </w:r>
      <w:r w:rsidR="003D5C06" w:rsidRPr="005478DC">
        <w:rPr>
          <w:i/>
        </w:rPr>
        <w:t xml:space="preserve"> Guideline</w:t>
      </w:r>
      <w:r w:rsidR="006C7B27" w:rsidRPr="005478DC">
        <w:rPr>
          <w:i/>
        </w:rPr>
        <w:t>s</w:t>
      </w:r>
      <w:r w:rsidR="006C7B27" w:rsidRPr="00AA097E">
        <w:t xml:space="preserve"> </w:t>
      </w:r>
      <w:r w:rsidR="004B1736" w:rsidRPr="00AA097E">
        <w:t xml:space="preserve">are </w:t>
      </w:r>
      <w:r w:rsidR="009B0AC2" w:rsidRPr="00AA097E">
        <w:t xml:space="preserve">applied </w:t>
      </w:r>
      <w:r w:rsidR="006C7B27" w:rsidRPr="00AA097E">
        <w:t>to the sale of food and drinks in school canteens and to all school activities and events</w:t>
      </w:r>
      <w:r w:rsidR="001B2F38" w:rsidRPr="00AA097E">
        <w:t xml:space="preserve">. </w:t>
      </w:r>
      <w:r w:rsidR="00AA507B" w:rsidRPr="00AA097E">
        <w:t xml:space="preserve">The </w:t>
      </w:r>
      <w:r w:rsidR="00AA507B" w:rsidRPr="005478DC">
        <w:rPr>
          <w:i/>
        </w:rPr>
        <w:t>National Healthy School Canteen Guidelines</w:t>
      </w:r>
      <w:r w:rsidR="00AA507B" w:rsidRPr="00AA097E">
        <w:t xml:space="preserve"> use a traffic light system to categorise food and drinks according to their nutritional value</w:t>
      </w:r>
      <w:r w:rsidR="00AA507B" w:rsidRPr="00AA507B">
        <w:t xml:space="preserve"> and levels of energy, saturated fat, fibre, sugar and salt. The Traffic Light System</w:t>
      </w:r>
      <w:r w:rsidR="00A7585A">
        <w:t xml:space="preserve"> is as follows:</w:t>
      </w:r>
    </w:p>
    <w:p w14:paraId="0E2B6F8D" w14:textId="5B57AE30" w:rsidR="00AA507B" w:rsidRPr="00AA507B" w:rsidRDefault="00C5026F" w:rsidP="00AA507B">
      <w:pPr>
        <w:numPr>
          <w:ilvl w:val="0"/>
          <w:numId w:val="0"/>
        </w:numPr>
        <w:rPr>
          <w:bCs/>
        </w:rPr>
      </w:pPr>
      <w:r>
        <w:rPr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88C34" wp14:editId="38BA3A34">
                <wp:simplePos x="0" y="0"/>
                <wp:positionH relativeFrom="column">
                  <wp:posOffset>275590</wp:posOffset>
                </wp:positionH>
                <wp:positionV relativeFrom="paragraph">
                  <wp:posOffset>116840</wp:posOffset>
                </wp:positionV>
                <wp:extent cx="5459095" cy="770255"/>
                <wp:effectExtent l="18415" t="21590" r="18415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9EE22" w14:textId="77777777" w:rsidR="004942BA" w:rsidRDefault="004942BA" w:rsidP="00AA507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C0C48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GREEN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food and drinks are the best choices. They should always be available, displayed in prominent areas, and actively promoted and encouraged. </w:t>
                            </w:r>
                            <w:r w:rsidRPr="007C0C48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GREEN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foods and drinks form the basis of a healthy diet. </w:t>
                            </w:r>
                            <w:r w:rsidRPr="007C0C48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GREEN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foods and drinks 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>offer a wide range of nutrients and are generally low in saturated fat, sugar and salt.</w:t>
                            </w:r>
                          </w:p>
                          <w:p w14:paraId="63816664" w14:textId="77777777" w:rsidR="004942BA" w:rsidRDefault="004942BA" w:rsidP="00AA507B">
                            <w:pPr>
                              <w:numPr>
                                <w:ilvl w:val="0"/>
                                <w:numId w:val="0"/>
                              </w:numPr>
                              <w:ind w:left="851" w:hanging="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88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7pt;margin-top:9.2pt;width:429.85pt;height:6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" strokecolor="#00b050" strokeweight="2pt">
                <v:textbox>
                  <w:txbxContent>
                    <w:p w14:paraId="4189EE22" w14:textId="77777777" w:rsidR="004942BA" w:rsidRDefault="004942BA" w:rsidP="00AA507B">
                      <w:pPr>
                        <w:numPr>
                          <w:ilvl w:val="0"/>
                          <w:numId w:val="0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7C0C48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GREEN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 xml:space="preserve"> food and drinks are the best choices. They should always be available, displayed in prominent areas, and actively promoted and encouraged. </w:t>
                      </w:r>
                      <w:r w:rsidRPr="007C0C48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GREEN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 xml:space="preserve"> foods and drinks form the basis of a healthy diet. </w:t>
                      </w:r>
                      <w:r w:rsidRPr="007C0C48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GREEN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foods and drinks 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>offer a wide range of nutrients and are generally low in saturated fat, sugar and salt.</w:t>
                      </w:r>
                    </w:p>
                    <w:p w14:paraId="63816664" w14:textId="77777777" w:rsidR="004942BA" w:rsidRDefault="004942BA" w:rsidP="00AA507B">
                      <w:pPr>
                        <w:numPr>
                          <w:ilvl w:val="0"/>
                          <w:numId w:val="0"/>
                        </w:numPr>
                        <w:ind w:left="851" w:hanging="851"/>
                      </w:pPr>
                    </w:p>
                  </w:txbxContent>
                </v:textbox>
              </v:shape>
            </w:pict>
          </mc:Fallback>
        </mc:AlternateContent>
      </w:r>
    </w:p>
    <w:p w14:paraId="336334F6" w14:textId="77777777" w:rsidR="00AA507B" w:rsidRDefault="00AA507B" w:rsidP="00AA507B">
      <w:pPr>
        <w:numPr>
          <w:ilvl w:val="0"/>
          <w:numId w:val="0"/>
        </w:numPr>
        <w:ind w:left="851" w:hanging="851"/>
        <w:rPr>
          <w:b/>
          <w:bCs/>
          <w:i/>
        </w:rPr>
      </w:pPr>
    </w:p>
    <w:p w14:paraId="7FF398CE" w14:textId="77777777" w:rsidR="00AA507B" w:rsidRDefault="00AA507B" w:rsidP="00AA507B">
      <w:pPr>
        <w:numPr>
          <w:ilvl w:val="0"/>
          <w:numId w:val="0"/>
        </w:numPr>
        <w:ind w:left="851" w:hanging="851"/>
        <w:rPr>
          <w:b/>
          <w:bCs/>
          <w:i/>
        </w:rPr>
      </w:pPr>
    </w:p>
    <w:p w14:paraId="3F3A1611" w14:textId="77777777" w:rsidR="00AA507B" w:rsidRPr="007C0C48" w:rsidRDefault="00AA507B" w:rsidP="00AA507B">
      <w:pPr>
        <w:numPr>
          <w:ilvl w:val="0"/>
          <w:numId w:val="0"/>
        </w:numPr>
        <w:ind w:left="851" w:hanging="851"/>
        <w:rPr>
          <w:b/>
          <w:bCs/>
          <w:i/>
        </w:rPr>
      </w:pPr>
    </w:p>
    <w:p w14:paraId="326D4E23" w14:textId="77777777" w:rsidR="00AA507B" w:rsidRDefault="00AA507B" w:rsidP="00AA507B">
      <w:pPr>
        <w:numPr>
          <w:ilvl w:val="0"/>
          <w:numId w:val="0"/>
        </w:numPr>
        <w:ind w:left="851"/>
        <w:rPr>
          <w:bCs/>
          <w:i/>
        </w:rPr>
      </w:pPr>
    </w:p>
    <w:p w14:paraId="265B64E4" w14:textId="419B6AF2" w:rsidR="00AA507B" w:rsidRDefault="00C5026F" w:rsidP="00AA507B">
      <w:pPr>
        <w:numPr>
          <w:ilvl w:val="0"/>
          <w:numId w:val="0"/>
        </w:numPr>
        <w:ind w:left="851"/>
        <w:rPr>
          <w:bCs/>
          <w:i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276F6B" wp14:editId="22E4E113">
                <wp:simplePos x="0" y="0"/>
                <wp:positionH relativeFrom="column">
                  <wp:posOffset>275590</wp:posOffset>
                </wp:positionH>
                <wp:positionV relativeFrom="paragraph">
                  <wp:posOffset>111760</wp:posOffset>
                </wp:positionV>
                <wp:extent cx="5459095" cy="756285"/>
                <wp:effectExtent l="18415" t="13970" r="18415" b="203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09AF8" w14:textId="77777777" w:rsidR="004942BA" w:rsidRDefault="004942BA" w:rsidP="00AA507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C0C48">
                              <w:rPr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AMBER</w:t>
                            </w:r>
                            <w:r w:rsidRPr="007C0C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>food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and drinks should be selected carefully. They should not dominate the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food and drink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choices displayed or promoted. </w:t>
                            </w:r>
                            <w:r w:rsidRPr="007C0C48">
                              <w:rPr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AMBER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foods and drinks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contribute some valuable nutrients, but contain moderate amounts saturated fat, sugar and/or salt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and may be low in fibre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7C0C48">
                              <w:rPr>
                                <w:b/>
                                <w:bCs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AMBER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food and drinks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may contribute to excess intake of energy (kilojoules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/calories</w:t>
                            </w:r>
                            <w:r w:rsidRPr="007C0C48">
                              <w:rPr>
                                <w:bCs/>
                                <w:sz w:val="20"/>
                                <w:szCs w:val="20"/>
                              </w:rPr>
                              <w:t>) if consumed in large quantities.</w:t>
                            </w:r>
                          </w:p>
                          <w:p w14:paraId="3E5607C4" w14:textId="77777777" w:rsidR="004942BA" w:rsidRDefault="004942BA" w:rsidP="00AA507B">
                            <w:pPr>
                              <w:numPr>
                                <w:ilvl w:val="0"/>
                                <w:numId w:val="0"/>
                              </w:numPr>
                              <w:ind w:left="851" w:hanging="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76F6B" id="Text Box 3" o:spid="_x0000_s1027" type="#_x0000_t202" style="position:absolute;left:0;text-align:left;margin-left:21.7pt;margin-top:8.8pt;width:429.85pt;height:5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" strokecolor="#e36c0a [2409]" strokeweight="2pt">
                <v:textbox>
                  <w:txbxContent>
                    <w:p w14:paraId="5B509AF8" w14:textId="77777777" w:rsidR="004942BA" w:rsidRDefault="004942BA" w:rsidP="00AA507B">
                      <w:pPr>
                        <w:numPr>
                          <w:ilvl w:val="0"/>
                          <w:numId w:val="0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7C0C48">
                        <w:rPr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AMBER</w:t>
                      </w:r>
                      <w:r w:rsidRPr="007C0C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>food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 xml:space="preserve"> and drinks should be selected carefully. They should not dominate the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food and drink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 xml:space="preserve"> choices displayed or promoted. </w:t>
                      </w:r>
                      <w:r w:rsidRPr="007C0C48">
                        <w:rPr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AMBER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foods and drinks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 xml:space="preserve"> contribute some valuable nutrients, but contain moderate amounts saturated fat, sugar and/or salt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and may be low in fibre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7C0C48">
                        <w:rPr>
                          <w:b/>
                          <w:bCs/>
                          <w:color w:val="E36C0A" w:themeColor="accent6" w:themeShade="BF"/>
                          <w:sz w:val="20"/>
                          <w:szCs w:val="20"/>
                        </w:rPr>
                        <w:t>AMBER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food and drinks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 xml:space="preserve"> may contribute to excess intake of energy (kilojoules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/calories</w:t>
                      </w:r>
                      <w:r w:rsidRPr="007C0C48">
                        <w:rPr>
                          <w:bCs/>
                          <w:sz w:val="20"/>
                          <w:szCs w:val="20"/>
                        </w:rPr>
                        <w:t>) if consumed in large quantities.</w:t>
                      </w:r>
                    </w:p>
                    <w:p w14:paraId="3E5607C4" w14:textId="77777777" w:rsidR="004942BA" w:rsidRDefault="004942BA" w:rsidP="00AA507B">
                      <w:pPr>
                        <w:numPr>
                          <w:ilvl w:val="0"/>
                          <w:numId w:val="0"/>
                        </w:numPr>
                        <w:ind w:left="851" w:hanging="851"/>
                      </w:pPr>
                    </w:p>
                  </w:txbxContent>
                </v:textbox>
              </v:shape>
            </w:pict>
          </mc:Fallback>
        </mc:AlternateContent>
      </w:r>
    </w:p>
    <w:p w14:paraId="1B3A3FF2" w14:textId="77777777" w:rsidR="00AA507B" w:rsidRDefault="00AA507B" w:rsidP="00AA507B">
      <w:pPr>
        <w:numPr>
          <w:ilvl w:val="0"/>
          <w:numId w:val="0"/>
        </w:numPr>
        <w:ind w:left="851"/>
        <w:rPr>
          <w:bCs/>
          <w:i/>
        </w:rPr>
      </w:pPr>
    </w:p>
    <w:p w14:paraId="24B3D479" w14:textId="77777777" w:rsidR="00AA507B" w:rsidRDefault="00AA507B" w:rsidP="00AA507B">
      <w:pPr>
        <w:numPr>
          <w:ilvl w:val="0"/>
          <w:numId w:val="0"/>
        </w:numPr>
        <w:ind w:left="851"/>
        <w:rPr>
          <w:bCs/>
          <w:i/>
        </w:rPr>
      </w:pPr>
    </w:p>
    <w:p w14:paraId="21EAEA38" w14:textId="77777777" w:rsidR="00AA507B" w:rsidRDefault="00AA507B" w:rsidP="00AA507B">
      <w:pPr>
        <w:numPr>
          <w:ilvl w:val="0"/>
          <w:numId w:val="0"/>
        </w:numPr>
        <w:rPr>
          <w:bCs/>
        </w:rPr>
      </w:pPr>
      <w:r>
        <w:t xml:space="preserve"> </w:t>
      </w:r>
    </w:p>
    <w:p w14:paraId="4C282C07" w14:textId="77777777" w:rsidR="00AA507B" w:rsidRPr="007C0C48" w:rsidRDefault="00AA507B" w:rsidP="00AA507B">
      <w:pPr>
        <w:numPr>
          <w:ilvl w:val="0"/>
          <w:numId w:val="0"/>
        </w:numPr>
        <w:ind w:left="851"/>
        <w:rPr>
          <w:bCs/>
          <w:i/>
        </w:rPr>
      </w:pPr>
    </w:p>
    <w:p w14:paraId="3C2DDF89" w14:textId="1BD9AD11" w:rsidR="00AA507B" w:rsidRPr="007C0C48" w:rsidRDefault="00C5026F" w:rsidP="00AA507B">
      <w:pPr>
        <w:numPr>
          <w:ilvl w:val="0"/>
          <w:numId w:val="0"/>
        </w:numPr>
        <w:ind w:left="851"/>
        <w:rPr>
          <w:bCs/>
          <w:i/>
        </w:rPr>
      </w:pPr>
      <w:r>
        <w:rPr>
          <w:bCs/>
          <w:i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A557A" wp14:editId="582EF0D3">
                <wp:simplePos x="0" y="0"/>
                <wp:positionH relativeFrom="column">
                  <wp:posOffset>275590</wp:posOffset>
                </wp:positionH>
                <wp:positionV relativeFrom="paragraph">
                  <wp:posOffset>116205</wp:posOffset>
                </wp:positionV>
                <wp:extent cx="5459095" cy="591820"/>
                <wp:effectExtent l="18415" t="13335" r="184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B8A80" w14:textId="77777777" w:rsidR="004942BA" w:rsidRDefault="004942BA" w:rsidP="00AA507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C0C48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RED</w:t>
                            </w:r>
                            <w:r w:rsidRPr="007C0C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foods and drinks should not be provided or sold in schools. </w:t>
                            </w:r>
                            <w:r w:rsidRPr="007C0C48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RED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foods and drinks are low in nutritional value and fibre and may be high in saturated fat, added sugar and/or salt. </w:t>
                            </w:r>
                            <w:r w:rsidRPr="007C0C48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RED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foods and drinks may also provide excess energy (kilojoules/calories).  </w:t>
                            </w:r>
                          </w:p>
                          <w:p w14:paraId="2EED5187" w14:textId="77777777" w:rsidR="004942BA" w:rsidRDefault="004942BA" w:rsidP="00AA507B">
                            <w:pPr>
                              <w:numPr>
                                <w:ilvl w:val="0"/>
                                <w:numId w:val="0"/>
                              </w:numPr>
                              <w:ind w:left="851" w:hanging="85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557A" id="Text Box 4" o:spid="_x0000_s1028" type="#_x0000_t202" style="position:absolute;left:0;text-align:left;margin-left:21.7pt;margin-top:9.15pt;width:429.85pt;height:4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" strokecolor="red" strokeweight="2pt">
                <v:textbox>
                  <w:txbxContent>
                    <w:p w14:paraId="6BAB8A80" w14:textId="77777777" w:rsidR="004942BA" w:rsidRDefault="004942BA" w:rsidP="00AA507B">
                      <w:pPr>
                        <w:numPr>
                          <w:ilvl w:val="0"/>
                          <w:numId w:val="0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7C0C48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RED</w:t>
                      </w:r>
                      <w:r w:rsidRPr="007C0C4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foods and drinks should not be provided or sold in schools. </w:t>
                      </w:r>
                      <w:r w:rsidRPr="007C0C48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RED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foods and drinks are low in nutritional value and fibre and may be high in saturated fat, added sugar and/or salt. </w:t>
                      </w:r>
                      <w:r w:rsidRPr="007C0C48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RED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foods and drinks may also provide excess energy (kilojoules/calories).  </w:t>
                      </w:r>
                    </w:p>
                    <w:p w14:paraId="2EED5187" w14:textId="77777777" w:rsidR="004942BA" w:rsidRDefault="004942BA" w:rsidP="00AA507B">
                      <w:pPr>
                        <w:numPr>
                          <w:ilvl w:val="0"/>
                          <w:numId w:val="0"/>
                        </w:numPr>
                        <w:ind w:left="851" w:hanging="851"/>
                      </w:pPr>
                    </w:p>
                  </w:txbxContent>
                </v:textbox>
              </v:shape>
            </w:pict>
          </mc:Fallback>
        </mc:AlternateContent>
      </w:r>
    </w:p>
    <w:p w14:paraId="46E56030" w14:textId="77777777" w:rsidR="00AA507B" w:rsidRPr="007C0C48" w:rsidRDefault="00AA507B" w:rsidP="00AA507B">
      <w:pPr>
        <w:numPr>
          <w:ilvl w:val="0"/>
          <w:numId w:val="0"/>
        </w:numPr>
        <w:ind w:left="851"/>
        <w:rPr>
          <w:bCs/>
          <w:i/>
        </w:rPr>
      </w:pPr>
    </w:p>
    <w:p w14:paraId="68A7EDF9" w14:textId="77777777" w:rsidR="00AA507B" w:rsidRPr="007C0C48" w:rsidRDefault="00AA507B" w:rsidP="00AA507B">
      <w:pPr>
        <w:numPr>
          <w:ilvl w:val="0"/>
          <w:numId w:val="0"/>
        </w:numPr>
        <w:ind w:left="851"/>
        <w:rPr>
          <w:bCs/>
          <w:i/>
        </w:rPr>
      </w:pPr>
    </w:p>
    <w:p w14:paraId="0D614FD0" w14:textId="77777777" w:rsidR="00AA507B" w:rsidRPr="007C0C48" w:rsidRDefault="00AA507B" w:rsidP="00AA507B">
      <w:pPr>
        <w:numPr>
          <w:ilvl w:val="0"/>
          <w:numId w:val="0"/>
        </w:numPr>
        <w:ind w:left="851"/>
        <w:rPr>
          <w:bCs/>
          <w:i/>
        </w:rPr>
      </w:pPr>
    </w:p>
    <w:p w14:paraId="693F96AE" w14:textId="77777777" w:rsidR="007B1602" w:rsidRDefault="007B1602" w:rsidP="00AA507B">
      <w:pPr>
        <w:numPr>
          <w:ilvl w:val="0"/>
          <w:numId w:val="0"/>
        </w:numPr>
        <w:ind w:left="851"/>
        <w:rPr>
          <w:rFonts w:asciiTheme="minorHAnsi" w:hAnsiTheme="minorHAnsi"/>
          <w:bCs/>
          <w:sz w:val="16"/>
          <w:szCs w:val="16"/>
        </w:rPr>
      </w:pPr>
    </w:p>
    <w:p w14:paraId="47849349" w14:textId="77777777" w:rsidR="00AA507B" w:rsidRPr="007B1602" w:rsidRDefault="00AA507B" w:rsidP="00AA507B">
      <w:pPr>
        <w:numPr>
          <w:ilvl w:val="0"/>
          <w:numId w:val="0"/>
        </w:numPr>
        <w:ind w:left="851"/>
        <w:rPr>
          <w:rFonts w:asciiTheme="minorHAnsi" w:hAnsiTheme="minorHAnsi"/>
          <w:bCs/>
          <w:sz w:val="16"/>
          <w:szCs w:val="16"/>
        </w:rPr>
      </w:pPr>
      <w:r w:rsidRPr="007B1602">
        <w:rPr>
          <w:rFonts w:asciiTheme="minorHAnsi" w:hAnsiTheme="minorHAnsi"/>
          <w:bCs/>
          <w:sz w:val="16"/>
          <w:szCs w:val="16"/>
        </w:rPr>
        <w:t xml:space="preserve">Adapted from the </w:t>
      </w:r>
      <w:r w:rsidRPr="007B1602">
        <w:rPr>
          <w:rFonts w:asciiTheme="minorHAnsi" w:hAnsiTheme="minorHAnsi"/>
          <w:bCs/>
          <w:i/>
          <w:sz w:val="16"/>
          <w:szCs w:val="16"/>
        </w:rPr>
        <w:t>National Healthy School Canteen Guidelines</w:t>
      </w:r>
      <w:r w:rsidRPr="007B1602">
        <w:rPr>
          <w:rFonts w:asciiTheme="minorHAnsi" w:hAnsiTheme="minorHAnsi"/>
          <w:bCs/>
          <w:sz w:val="16"/>
          <w:szCs w:val="16"/>
        </w:rPr>
        <w:t xml:space="preserve"> 201</w:t>
      </w:r>
      <w:r w:rsidR="0053388A">
        <w:rPr>
          <w:rFonts w:asciiTheme="minorHAnsi" w:hAnsiTheme="minorHAnsi"/>
          <w:bCs/>
          <w:sz w:val="16"/>
          <w:szCs w:val="16"/>
        </w:rPr>
        <w:t>3</w:t>
      </w:r>
      <w:r w:rsidR="00AA097E">
        <w:rPr>
          <w:rFonts w:asciiTheme="minorHAnsi" w:hAnsiTheme="minorHAnsi"/>
          <w:bCs/>
          <w:sz w:val="16"/>
          <w:szCs w:val="16"/>
        </w:rPr>
        <w:t>.</w:t>
      </w:r>
    </w:p>
    <w:p w14:paraId="44133DF2" w14:textId="77777777" w:rsidR="00AA507B" w:rsidRDefault="00AA507B" w:rsidP="00AA507B">
      <w:pPr>
        <w:numPr>
          <w:ilvl w:val="0"/>
          <w:numId w:val="0"/>
        </w:numPr>
        <w:ind w:left="851"/>
      </w:pPr>
    </w:p>
    <w:p w14:paraId="313C525E" w14:textId="77777777" w:rsidR="009E669D" w:rsidRDefault="009E669D" w:rsidP="006C7B27">
      <w:r>
        <w:t xml:space="preserve">Sugary drinks are not permitted to be sold in </w:t>
      </w:r>
      <w:r w:rsidR="0083213A">
        <w:t>our</w:t>
      </w:r>
      <w:r w:rsidR="006B0F15">
        <w:t xml:space="preserve"> </w:t>
      </w:r>
      <w:r>
        <w:t>school canteen.</w:t>
      </w:r>
    </w:p>
    <w:p w14:paraId="7230B7BD" w14:textId="77777777" w:rsidR="009E669D" w:rsidRDefault="009E669D" w:rsidP="009E669D">
      <w:pPr>
        <w:numPr>
          <w:ilvl w:val="0"/>
          <w:numId w:val="0"/>
        </w:numPr>
      </w:pPr>
    </w:p>
    <w:p w14:paraId="3FE8F4CC" w14:textId="2F9371EC" w:rsidR="004942BA" w:rsidRDefault="00A858D9" w:rsidP="00F9316B">
      <w:r>
        <w:t xml:space="preserve">Food and drink vending machines are not permitted on </w:t>
      </w:r>
      <w:r w:rsidR="0083213A">
        <w:t>our</w:t>
      </w:r>
      <w:r w:rsidR="006B0F15">
        <w:t xml:space="preserve"> </w:t>
      </w:r>
      <w:r>
        <w:t>school site.</w:t>
      </w:r>
    </w:p>
    <w:p w14:paraId="468639A2" w14:textId="77777777" w:rsidR="00F9316B" w:rsidRDefault="00F9316B" w:rsidP="00F9316B">
      <w:pPr>
        <w:numPr>
          <w:ilvl w:val="0"/>
          <w:numId w:val="0"/>
        </w:numPr>
      </w:pPr>
    </w:p>
    <w:p w14:paraId="67041F75" w14:textId="77777777" w:rsidR="009E669D" w:rsidRDefault="009E669D" w:rsidP="009E669D">
      <w:r>
        <w:t xml:space="preserve">The following exemptions apply </w:t>
      </w:r>
      <w:r w:rsidR="007B1602">
        <w:t>to food and drink</w:t>
      </w:r>
      <w:r>
        <w:t>:</w:t>
      </w:r>
    </w:p>
    <w:p w14:paraId="2437B42E" w14:textId="77777777" w:rsidR="009E669D" w:rsidRPr="00A7585A" w:rsidRDefault="009E669D" w:rsidP="00A7585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Food and drinks sold at occasional fetes, fundraisers and school events no more than twice per term</w:t>
      </w:r>
      <w:r w:rsidR="007B1602">
        <w:rPr>
          <w:bCs/>
        </w:rPr>
        <w:t xml:space="preserve"> although healthier alternatives are encouraged.</w:t>
      </w:r>
    </w:p>
    <w:p w14:paraId="0808190A" w14:textId="77777777" w:rsidR="009E669D" w:rsidRPr="009B0AC2" w:rsidRDefault="009E669D" w:rsidP="009E669D">
      <w:pPr>
        <w:pStyle w:val="ListParagraph"/>
        <w:numPr>
          <w:ilvl w:val="0"/>
          <w:numId w:val="8"/>
        </w:numPr>
      </w:pPr>
      <w:r w:rsidRPr="009B0AC2">
        <w:t>Food and drinks supplied from home, including birthday cake</w:t>
      </w:r>
      <w:r w:rsidRPr="00856708">
        <w:t>s</w:t>
      </w:r>
      <w:r>
        <w:t>.</w:t>
      </w:r>
      <w:r w:rsidRPr="009B0AC2">
        <w:t xml:space="preserve"> </w:t>
      </w:r>
    </w:p>
    <w:p w14:paraId="39B53D52" w14:textId="77777777" w:rsidR="00A858D9" w:rsidRDefault="009E669D" w:rsidP="009E669D">
      <w:pPr>
        <w:pStyle w:val="ListParagraph"/>
        <w:numPr>
          <w:ilvl w:val="0"/>
          <w:numId w:val="8"/>
        </w:numPr>
      </w:pPr>
      <w:r w:rsidRPr="000641F6">
        <w:rPr>
          <w:bCs/>
        </w:rPr>
        <w:t>Curriculum-related cook</w:t>
      </w:r>
      <w:r>
        <w:rPr>
          <w:bCs/>
        </w:rPr>
        <w:t xml:space="preserve">ing and food-technology courses (schools are strongly encouraged to consider the </w:t>
      </w:r>
      <w:r w:rsidRPr="003B694C">
        <w:t>National Healthy School Canteen Guidelines</w:t>
      </w:r>
      <w:r>
        <w:t xml:space="preserve"> when making curriculum decisions with regard to </w:t>
      </w:r>
      <w:r w:rsidRPr="000641F6">
        <w:rPr>
          <w:bCs/>
        </w:rPr>
        <w:t>cook</w:t>
      </w:r>
      <w:r>
        <w:rPr>
          <w:bCs/>
        </w:rPr>
        <w:t>ing and food-technology)</w:t>
      </w:r>
      <w:r>
        <w:t>.</w:t>
      </w:r>
      <w:r>
        <w:br/>
      </w:r>
    </w:p>
    <w:p w14:paraId="78FE3E77" w14:textId="77777777" w:rsidR="00535D1F" w:rsidRDefault="006B0F15" w:rsidP="00535D1F">
      <w:r>
        <w:rPr>
          <w:bCs/>
        </w:rPr>
        <w:t>Our s</w:t>
      </w:r>
      <w:r w:rsidR="00974D79">
        <w:rPr>
          <w:bCs/>
        </w:rPr>
        <w:t xml:space="preserve">chool </w:t>
      </w:r>
      <w:r>
        <w:rPr>
          <w:bCs/>
        </w:rPr>
        <w:t xml:space="preserve">is </w:t>
      </w:r>
      <w:r w:rsidR="00047D6A">
        <w:rPr>
          <w:bCs/>
        </w:rPr>
        <w:t xml:space="preserve">encouraged to </w:t>
      </w:r>
      <w:r w:rsidR="008E0ED1">
        <w:rPr>
          <w:bCs/>
        </w:rPr>
        <w:t>apply</w:t>
      </w:r>
      <w:r w:rsidR="00974D79">
        <w:rPr>
          <w:bCs/>
        </w:rPr>
        <w:t xml:space="preserve"> the </w:t>
      </w:r>
      <w:r w:rsidR="004B1736">
        <w:rPr>
          <w:bCs/>
          <w:i/>
        </w:rPr>
        <w:t>National Healthy School Canteen Guidelines</w:t>
      </w:r>
      <w:r w:rsidR="004B1736">
        <w:rPr>
          <w:bCs/>
        </w:rPr>
        <w:t xml:space="preserve"> (including the </w:t>
      </w:r>
      <w:r w:rsidR="004B1736" w:rsidRPr="007C0C48">
        <w:rPr>
          <w:bCs/>
          <w:i/>
        </w:rPr>
        <w:t>traffic light system</w:t>
      </w:r>
      <w:r w:rsidR="004B1736">
        <w:rPr>
          <w:bCs/>
          <w:i/>
        </w:rPr>
        <w:t>)</w:t>
      </w:r>
      <w:r w:rsidR="004B1736">
        <w:rPr>
          <w:bCs/>
        </w:rPr>
        <w:t xml:space="preserve"> </w:t>
      </w:r>
      <w:r w:rsidR="00974D79">
        <w:rPr>
          <w:bCs/>
        </w:rPr>
        <w:t>when f</w:t>
      </w:r>
      <w:r w:rsidR="00974D79">
        <w:t>ood</w:t>
      </w:r>
      <w:r w:rsidR="001B2F38">
        <w:t>s</w:t>
      </w:r>
      <w:r w:rsidR="00974D79">
        <w:t xml:space="preserve"> and drinks are provided to students participating in off-site school acti</w:t>
      </w:r>
      <w:r w:rsidR="00DC51E8">
        <w:t>vities, such as</w:t>
      </w:r>
      <w:r w:rsidR="00974D79">
        <w:t xml:space="preserve"> excursions</w:t>
      </w:r>
      <w:r w:rsidR="00E05558">
        <w:t xml:space="preserve"> or school sports carnivals</w:t>
      </w:r>
      <w:r w:rsidR="00974D79">
        <w:t>.</w:t>
      </w:r>
      <w:r w:rsidR="00535D1F">
        <w:br/>
      </w:r>
    </w:p>
    <w:p w14:paraId="4CAF469A" w14:textId="77777777" w:rsidR="004F3EDB" w:rsidRDefault="006B0F15" w:rsidP="004F3EDB">
      <w:r>
        <w:t xml:space="preserve">The </w:t>
      </w:r>
      <w:r w:rsidR="009B0AC2">
        <w:t>Principal</w:t>
      </w:r>
      <w:r>
        <w:t xml:space="preserve"> is</w:t>
      </w:r>
      <w:r w:rsidR="009B0AC2">
        <w:t xml:space="preserve"> responsible for ensuring that </w:t>
      </w:r>
      <w:r w:rsidR="004F3EDB">
        <w:t xml:space="preserve">religious and </w:t>
      </w:r>
      <w:r w:rsidR="004F3EDB" w:rsidRPr="005478A4">
        <w:t>cu</w:t>
      </w:r>
      <w:r w:rsidR="004F3EDB">
        <w:t>ltural practices</w:t>
      </w:r>
      <w:r w:rsidR="004F3EDB" w:rsidDel="00856708">
        <w:t xml:space="preserve"> </w:t>
      </w:r>
      <w:r w:rsidR="004F3EDB">
        <w:t xml:space="preserve">are considered where </w:t>
      </w:r>
      <w:r w:rsidR="004F3EDB" w:rsidRPr="005478A4">
        <w:t>food</w:t>
      </w:r>
      <w:r w:rsidR="004F3EDB">
        <w:t>s</w:t>
      </w:r>
      <w:r w:rsidR="004F3EDB" w:rsidRPr="005478A4">
        <w:t xml:space="preserve"> </w:t>
      </w:r>
      <w:r w:rsidR="004F3EDB">
        <w:t>and drinks are provided at school events and activities.</w:t>
      </w:r>
    </w:p>
    <w:p w14:paraId="7B346705" w14:textId="77777777" w:rsidR="004F3EDB" w:rsidRDefault="004F3EDB" w:rsidP="004F3EDB">
      <w:pPr>
        <w:numPr>
          <w:ilvl w:val="0"/>
          <w:numId w:val="0"/>
        </w:numPr>
        <w:ind w:left="1571" w:hanging="360"/>
      </w:pPr>
    </w:p>
    <w:p w14:paraId="24612C4B" w14:textId="15AE9BFD" w:rsidR="004F3EDB" w:rsidRDefault="005478DC" w:rsidP="004F3EDB">
      <w:r>
        <w:t xml:space="preserve">The </w:t>
      </w:r>
      <w:r w:rsidR="00226D92">
        <w:t>P</w:t>
      </w:r>
      <w:r>
        <w:t>rincipal is</w:t>
      </w:r>
      <w:r w:rsidR="00226D92">
        <w:t xml:space="preserve"> </w:t>
      </w:r>
      <w:r w:rsidR="004F3EDB">
        <w:t xml:space="preserve">responsible for </w:t>
      </w:r>
      <w:r w:rsidR="00226D92">
        <w:t>meeting the requirements of</w:t>
      </w:r>
      <w:r w:rsidR="00343CA4">
        <w:t xml:space="preserve"> </w:t>
      </w:r>
      <w:r w:rsidR="00F9316B">
        <w:t xml:space="preserve">relevant policies </w:t>
      </w:r>
      <w:r w:rsidR="00CC250E" w:rsidRPr="00CC250E">
        <w:t xml:space="preserve">to </w:t>
      </w:r>
      <w:r w:rsidR="004F3EDB">
        <w:t>ensur</w:t>
      </w:r>
      <w:r w:rsidR="00CC250E">
        <w:t xml:space="preserve">e </w:t>
      </w:r>
      <w:r w:rsidR="004F3EDB">
        <w:t>that food allergies, intolerances and medical conditions (such as anaphyla</w:t>
      </w:r>
      <w:r w:rsidR="003D5C06">
        <w:t>xis</w:t>
      </w:r>
      <w:r w:rsidR="004F3EDB">
        <w:t>) are managed where foods and drinks are provided at school events and activities.</w:t>
      </w:r>
    </w:p>
    <w:p w14:paraId="3EED0E4A" w14:textId="77777777" w:rsidR="00445CEB" w:rsidRDefault="00445CEB" w:rsidP="00445CEB">
      <w:pPr>
        <w:pStyle w:val="ListParagraph"/>
        <w:numPr>
          <w:ilvl w:val="0"/>
          <w:numId w:val="0"/>
        </w:numPr>
        <w:ind w:left="1571"/>
      </w:pPr>
    </w:p>
    <w:p w14:paraId="274A0CF1" w14:textId="77777777" w:rsidR="004F3EDB" w:rsidRDefault="006B0F15" w:rsidP="004F3EDB">
      <w:r>
        <w:t xml:space="preserve">The </w:t>
      </w:r>
      <w:r w:rsidR="009B0AC2">
        <w:t>Principal</w:t>
      </w:r>
      <w:r>
        <w:t xml:space="preserve"> is</w:t>
      </w:r>
      <w:r w:rsidR="009B0AC2">
        <w:t xml:space="preserve"> responsible for ensuring that </w:t>
      </w:r>
      <w:r w:rsidR="00343CA4">
        <w:t>RED</w:t>
      </w:r>
      <w:r w:rsidR="000A2E21">
        <w:t xml:space="preserve"> category </w:t>
      </w:r>
      <w:r w:rsidR="004F3EDB">
        <w:t xml:space="preserve">food and drink items </w:t>
      </w:r>
      <w:r w:rsidR="009B0AC2">
        <w:t xml:space="preserve">are not used </w:t>
      </w:r>
      <w:r w:rsidR="004F3EDB">
        <w:t>as rewards or incentives</w:t>
      </w:r>
      <w:r w:rsidR="00E51998">
        <w:t xml:space="preserve"> for student learning</w:t>
      </w:r>
      <w:r w:rsidR="004F3EDB" w:rsidRPr="004F3EDB">
        <w:t>.</w:t>
      </w:r>
    </w:p>
    <w:p w14:paraId="5EDF4E25" w14:textId="77777777" w:rsidR="004F3EDB" w:rsidRPr="004F3EDB" w:rsidRDefault="004F3EDB" w:rsidP="004F3EDB">
      <w:pPr>
        <w:numPr>
          <w:ilvl w:val="0"/>
          <w:numId w:val="0"/>
        </w:numPr>
        <w:ind w:left="851"/>
      </w:pPr>
    </w:p>
    <w:p w14:paraId="3818E60B" w14:textId="23F5B18B" w:rsidR="004F3EDB" w:rsidRDefault="004F3EDB" w:rsidP="00F9316B">
      <w:r>
        <w:t xml:space="preserve">Staff are encouraged to support the Policy by not consuming </w:t>
      </w:r>
      <w:r w:rsidR="00CE7737">
        <w:t>RED category</w:t>
      </w:r>
      <w:r>
        <w:t xml:space="preserve"> foods and drinks in view of students.</w:t>
      </w:r>
    </w:p>
    <w:p w14:paraId="2E3E0E5C" w14:textId="77777777" w:rsidR="00B6240B" w:rsidRPr="003D5C06" w:rsidRDefault="004942BA" w:rsidP="004942BA">
      <w:pPr>
        <w:spacing w:before="240" w:after="240"/>
        <w:contextualSpacing w:val="0"/>
      </w:pPr>
      <w:r>
        <w:t>Principals are required to ensure appropriate Agreements are in place for any school food service/canteen. As part of the Agreement:</w:t>
      </w:r>
    </w:p>
    <w:p w14:paraId="1DB9BB83" w14:textId="77777777" w:rsidR="00E8047A" w:rsidRPr="00E8047A" w:rsidRDefault="00E7750C" w:rsidP="00E8047A">
      <w:pPr>
        <w:numPr>
          <w:ilvl w:val="2"/>
          <w:numId w:val="1"/>
        </w:numPr>
        <w:tabs>
          <w:tab w:val="clear" w:pos="851"/>
          <w:tab w:val="num" w:pos="1571"/>
        </w:tabs>
        <w:ind w:left="1571"/>
        <w:rPr>
          <w:i/>
        </w:rPr>
      </w:pPr>
      <w:r>
        <w:t xml:space="preserve">School canteens </w:t>
      </w:r>
      <w:r w:rsidRPr="00103CC3">
        <w:t xml:space="preserve">must be registered as a food business </w:t>
      </w:r>
      <w:r w:rsidR="0076543F">
        <w:t xml:space="preserve">and meet the requirements for the </w:t>
      </w:r>
      <w:r w:rsidR="002723B1">
        <w:t>safe</w:t>
      </w:r>
      <w:r w:rsidR="0076543F" w:rsidRPr="00CA4A69">
        <w:t xml:space="preserve"> </w:t>
      </w:r>
      <w:r w:rsidR="0076543F">
        <w:t xml:space="preserve">handling and sale of food under </w:t>
      </w:r>
      <w:r w:rsidRPr="00E8047A">
        <w:t xml:space="preserve">the </w:t>
      </w:r>
      <w:r w:rsidRPr="00E8047A">
        <w:rPr>
          <w:i/>
        </w:rPr>
        <w:t>Food Act 2001</w:t>
      </w:r>
      <w:r w:rsidR="00971F12">
        <w:rPr>
          <w:i/>
        </w:rPr>
        <w:t xml:space="preserve"> </w:t>
      </w:r>
      <w:r w:rsidR="00E02A8C" w:rsidRPr="00E02A8C">
        <w:t>(ACT)</w:t>
      </w:r>
      <w:r w:rsidR="00E8047A" w:rsidRPr="00E8047A">
        <w:rPr>
          <w:i/>
        </w:rPr>
        <w:t>.</w:t>
      </w:r>
    </w:p>
    <w:p w14:paraId="795B4D21" w14:textId="77777777" w:rsidR="00E8047A" w:rsidRDefault="00E8047A" w:rsidP="00E8047A">
      <w:pPr>
        <w:numPr>
          <w:ilvl w:val="0"/>
          <w:numId w:val="0"/>
        </w:numPr>
        <w:ind w:left="1571"/>
      </w:pPr>
    </w:p>
    <w:p w14:paraId="3EAAE233" w14:textId="77777777" w:rsidR="002723B1" w:rsidRPr="00E8047A" w:rsidRDefault="00E8047A" w:rsidP="00E8047A">
      <w:pPr>
        <w:numPr>
          <w:ilvl w:val="2"/>
          <w:numId w:val="1"/>
        </w:numPr>
        <w:tabs>
          <w:tab w:val="clear" w:pos="851"/>
          <w:tab w:val="num" w:pos="1571"/>
        </w:tabs>
        <w:ind w:left="1571"/>
        <w:rPr>
          <w:i/>
        </w:rPr>
      </w:pPr>
      <w:r>
        <w:t xml:space="preserve">School canteens </w:t>
      </w:r>
      <w:r w:rsidR="00E7750C" w:rsidRPr="00CA4A69">
        <w:t xml:space="preserve">are subject to </w:t>
      </w:r>
      <w:r w:rsidR="00CE7737">
        <w:rPr>
          <w:bCs/>
        </w:rPr>
        <w:t>the</w:t>
      </w:r>
      <w:r w:rsidR="00971F12">
        <w:rPr>
          <w:bCs/>
        </w:rPr>
        <w:t xml:space="preserve"> requirements of the</w:t>
      </w:r>
      <w:r w:rsidR="00971F12" w:rsidRPr="00971F12">
        <w:rPr>
          <w:i/>
        </w:rPr>
        <w:t xml:space="preserve"> </w:t>
      </w:r>
      <w:r w:rsidR="00971F12" w:rsidRPr="00E8047A">
        <w:rPr>
          <w:i/>
        </w:rPr>
        <w:t>Food Act 2001</w:t>
      </w:r>
      <w:r w:rsidR="00971F12">
        <w:rPr>
          <w:i/>
        </w:rPr>
        <w:t xml:space="preserve"> </w:t>
      </w:r>
      <w:r w:rsidR="00971F12" w:rsidRPr="00971F12">
        <w:t>(ACT)</w:t>
      </w:r>
      <w:r w:rsidR="00971F12">
        <w:t>,</w:t>
      </w:r>
      <w:r w:rsidR="00CE7737">
        <w:rPr>
          <w:bCs/>
        </w:rPr>
        <w:t xml:space="preserve"> </w:t>
      </w:r>
      <w:r w:rsidR="00CE7737" w:rsidRPr="004A0B39">
        <w:rPr>
          <w:bCs/>
          <w:i/>
        </w:rPr>
        <w:t>Food Regulation ACT 2002</w:t>
      </w:r>
      <w:r w:rsidR="00CE7737" w:rsidRPr="004A0B39">
        <w:rPr>
          <w:bCs/>
        </w:rPr>
        <w:t xml:space="preserve"> (ACT)</w:t>
      </w:r>
      <w:r w:rsidR="00E20031">
        <w:rPr>
          <w:i/>
        </w:rPr>
        <w:t xml:space="preserve"> </w:t>
      </w:r>
      <w:r w:rsidR="00971F12" w:rsidRPr="00971F12">
        <w:t xml:space="preserve">and </w:t>
      </w:r>
      <w:r w:rsidR="00971F12">
        <w:rPr>
          <w:i/>
        </w:rPr>
        <w:t xml:space="preserve">Australia New Zealand Food Standards Code. </w:t>
      </w:r>
      <w:r w:rsidR="00971F12">
        <w:t>These may include inspection and reporting requirements, where relevant.</w:t>
      </w:r>
    </w:p>
    <w:p w14:paraId="3CB49811" w14:textId="77777777" w:rsidR="00E8047A" w:rsidRPr="003D5C06" w:rsidRDefault="00E8047A" w:rsidP="003D5C06">
      <w:pPr>
        <w:numPr>
          <w:ilvl w:val="0"/>
          <w:numId w:val="0"/>
        </w:numPr>
        <w:tabs>
          <w:tab w:val="num" w:pos="1571"/>
        </w:tabs>
        <w:ind w:left="1571"/>
      </w:pPr>
    </w:p>
    <w:p w14:paraId="773AA056" w14:textId="77777777" w:rsidR="002F2D56" w:rsidRDefault="00D17A51" w:rsidP="003D5C06">
      <w:pPr>
        <w:numPr>
          <w:ilvl w:val="2"/>
          <w:numId w:val="1"/>
        </w:numPr>
        <w:tabs>
          <w:tab w:val="clear" w:pos="851"/>
          <w:tab w:val="num" w:pos="1571"/>
        </w:tabs>
        <w:ind w:left="1571"/>
      </w:pPr>
      <w:r>
        <w:lastRenderedPageBreak/>
        <w:t xml:space="preserve">The </w:t>
      </w:r>
      <w:r w:rsidR="004A0B39" w:rsidRPr="004A0B39">
        <w:t>Principal</w:t>
      </w:r>
      <w:r w:rsidR="003D5C06">
        <w:t xml:space="preserve"> and </w:t>
      </w:r>
      <w:r>
        <w:t>c</w:t>
      </w:r>
      <w:r w:rsidR="003D5C06">
        <w:t xml:space="preserve">anteen operator </w:t>
      </w:r>
      <w:r w:rsidR="004A0B39" w:rsidRPr="004A0B39">
        <w:t>must meet their responsibilities under</w:t>
      </w:r>
      <w:r w:rsidR="00E20031">
        <w:t xml:space="preserve"> </w:t>
      </w:r>
      <w:r w:rsidR="00CE7737" w:rsidRPr="004A0B39">
        <w:t xml:space="preserve">the </w:t>
      </w:r>
      <w:r w:rsidR="00CE7737" w:rsidRPr="004A0B39">
        <w:rPr>
          <w:i/>
        </w:rPr>
        <w:t>Work Health and Safety Act 2011(ACT</w:t>
      </w:r>
      <w:r w:rsidR="00CE7737">
        <w:rPr>
          <w:i/>
        </w:rPr>
        <w:t xml:space="preserve">), </w:t>
      </w:r>
      <w:r w:rsidR="00CE7737" w:rsidRPr="00F97DE7">
        <w:rPr>
          <w:bCs/>
        </w:rPr>
        <w:t xml:space="preserve">the </w:t>
      </w:r>
      <w:r w:rsidR="00CE7737" w:rsidRPr="00F97DE7">
        <w:rPr>
          <w:i/>
        </w:rPr>
        <w:t>Working with Vulnerable People (Backgro</w:t>
      </w:r>
      <w:r w:rsidR="00CE7737">
        <w:rPr>
          <w:i/>
        </w:rPr>
        <w:t xml:space="preserve">und Checking) Act 2011 (ACT) </w:t>
      </w:r>
      <w:r w:rsidR="00E20031">
        <w:t xml:space="preserve">and </w:t>
      </w:r>
      <w:r w:rsidR="00CE7737">
        <w:t xml:space="preserve">the </w:t>
      </w:r>
      <w:r w:rsidR="00CE7737">
        <w:rPr>
          <w:bCs/>
        </w:rPr>
        <w:t>Fair Work Act 2009</w:t>
      </w:r>
      <w:r w:rsidR="00E20031" w:rsidRPr="00E20031">
        <w:t>.</w:t>
      </w:r>
      <w:r w:rsidR="00E8047A" w:rsidRPr="00E20031">
        <w:br/>
      </w:r>
    </w:p>
    <w:p w14:paraId="1F25ED1E" w14:textId="77777777" w:rsidR="00E8047A" w:rsidRDefault="00D17A51" w:rsidP="00E8047A">
      <w:pPr>
        <w:numPr>
          <w:ilvl w:val="2"/>
          <w:numId w:val="1"/>
        </w:numPr>
        <w:tabs>
          <w:tab w:val="clear" w:pos="851"/>
          <w:tab w:val="num" w:pos="1571"/>
        </w:tabs>
        <w:ind w:left="1571"/>
      </w:pPr>
      <w:r>
        <w:t>The s</w:t>
      </w:r>
      <w:r w:rsidR="00E8047A">
        <w:t xml:space="preserve">chool canteen </w:t>
      </w:r>
      <w:r w:rsidR="00F54599">
        <w:t xml:space="preserve">will be subject to an annual </w:t>
      </w:r>
      <w:r w:rsidR="00E8047A" w:rsidRPr="00CA4A69">
        <w:t>menu review</w:t>
      </w:r>
      <w:r w:rsidR="00F54599">
        <w:t xml:space="preserve"> by an external agency</w:t>
      </w:r>
      <w:r w:rsidR="004B1736">
        <w:t xml:space="preserve"> to assess the food and drinks provided and for sale against the </w:t>
      </w:r>
      <w:r w:rsidR="004B1736" w:rsidRPr="00D17A51">
        <w:rPr>
          <w:i/>
        </w:rPr>
        <w:t>National Healthy School Canteen Guidelines</w:t>
      </w:r>
      <w:r w:rsidR="00E8047A">
        <w:t>.</w:t>
      </w:r>
    </w:p>
    <w:p w14:paraId="0D0664B4" w14:textId="77777777" w:rsidR="005478DC" w:rsidRDefault="005478DC" w:rsidP="005478DC">
      <w:pPr>
        <w:numPr>
          <w:ilvl w:val="0"/>
          <w:numId w:val="0"/>
        </w:numPr>
        <w:ind w:left="1571"/>
      </w:pPr>
    </w:p>
    <w:p w14:paraId="6B036A4A" w14:textId="0AB731E0" w:rsidR="00611E80" w:rsidRDefault="00611E80" w:rsidP="00F9316B">
      <w:r>
        <w:t>Our s</w:t>
      </w:r>
      <w:r w:rsidRPr="000A2E21">
        <w:t xml:space="preserve">chool </w:t>
      </w:r>
      <w:r>
        <w:t xml:space="preserve">is </w:t>
      </w:r>
      <w:r w:rsidRPr="000A2E21">
        <w:t xml:space="preserve">encouraged to access professional advice to support them in the implementation of </w:t>
      </w:r>
      <w:r>
        <w:t xml:space="preserve">our </w:t>
      </w:r>
      <w:r w:rsidRPr="000A2E21">
        <w:t xml:space="preserve">Food and Drink Policy through nutrition advisory services. </w:t>
      </w:r>
    </w:p>
    <w:p w14:paraId="7D119902" w14:textId="77777777" w:rsidR="008661F7" w:rsidRDefault="008661F7" w:rsidP="003D5C06">
      <w:pPr>
        <w:numPr>
          <w:ilvl w:val="0"/>
          <w:numId w:val="0"/>
        </w:numPr>
        <w:ind w:left="851"/>
      </w:pPr>
    </w:p>
    <w:p w14:paraId="2727D2F2" w14:textId="77777777" w:rsidR="00A25B9E" w:rsidRPr="00CA4A69" w:rsidRDefault="009B0CA5" w:rsidP="00AA097E">
      <w:pPr>
        <w:pStyle w:val="Heading2"/>
      </w:pPr>
      <w:r w:rsidRPr="00CA4A69">
        <w:t>RATIONALE</w:t>
      </w:r>
      <w:r w:rsidR="008A4C65" w:rsidRPr="00CA4A69">
        <w:t xml:space="preserve"> </w:t>
      </w:r>
    </w:p>
    <w:p w14:paraId="3DD45313" w14:textId="77777777" w:rsidR="00DF5E6A" w:rsidRDefault="00DF5E6A" w:rsidP="00DF5E6A">
      <w:pPr>
        <w:numPr>
          <w:ilvl w:val="0"/>
          <w:numId w:val="0"/>
        </w:numPr>
        <w:ind w:left="851"/>
      </w:pPr>
    </w:p>
    <w:p w14:paraId="1583CC7B" w14:textId="77777777" w:rsidR="003D5C06" w:rsidRPr="003D5C06" w:rsidRDefault="003D5C06" w:rsidP="008E0ED1">
      <w:pPr>
        <w:rPr>
          <w:bCs/>
          <w:i/>
        </w:rPr>
      </w:pPr>
      <w:r w:rsidRPr="006948C7">
        <w:t>This policy has been developed to promote a consistent, whole school approach to the provision and sale of healthy food and drinks in ACT schools.</w:t>
      </w:r>
      <w:r>
        <w:br/>
      </w:r>
    </w:p>
    <w:p w14:paraId="7C485695" w14:textId="77777777" w:rsidR="0019760C" w:rsidRPr="00E26282" w:rsidRDefault="006B0F15" w:rsidP="008E0ED1">
      <w:pPr>
        <w:rPr>
          <w:bCs/>
          <w:i/>
        </w:rPr>
      </w:pPr>
      <w:r>
        <w:rPr>
          <w:bCs/>
        </w:rPr>
        <w:t>Our school</w:t>
      </w:r>
      <w:r w:rsidR="0083213A">
        <w:rPr>
          <w:bCs/>
        </w:rPr>
        <w:t xml:space="preserve"> </w:t>
      </w:r>
      <w:r w:rsidR="000641F6" w:rsidRPr="0019760C">
        <w:rPr>
          <w:bCs/>
        </w:rPr>
        <w:t>recognises th</w:t>
      </w:r>
      <w:r w:rsidR="0019760C" w:rsidRPr="0019760C">
        <w:rPr>
          <w:bCs/>
        </w:rPr>
        <w:t xml:space="preserve">at </w:t>
      </w:r>
      <w:r w:rsidR="005478DC">
        <w:t>c</w:t>
      </w:r>
      <w:r w:rsidR="0019760C" w:rsidRPr="00F9795B">
        <w:t>hildh</w:t>
      </w:r>
      <w:r w:rsidR="006B5772">
        <w:t>ood is a time when attitudes about</w:t>
      </w:r>
      <w:r w:rsidR="0019760C" w:rsidRPr="00F9795B">
        <w:t xml:space="preserve"> food and eating behaviours are formed</w:t>
      </w:r>
      <w:r w:rsidR="0019760C">
        <w:t>.</w:t>
      </w:r>
      <w:r w:rsidR="0019760C" w:rsidRPr="0019760C">
        <w:rPr>
          <w:bCs/>
        </w:rPr>
        <w:t xml:space="preserve"> </w:t>
      </w:r>
      <w:r w:rsidR="0019760C" w:rsidRPr="00F9795B">
        <w:t>Once a child begins school, the school environment plays a role in influencing children’s food preferences.</w:t>
      </w:r>
    </w:p>
    <w:p w14:paraId="7E2E9267" w14:textId="77777777" w:rsidR="00E26282" w:rsidRPr="0019760C" w:rsidRDefault="00E26282" w:rsidP="00E26282">
      <w:pPr>
        <w:numPr>
          <w:ilvl w:val="0"/>
          <w:numId w:val="0"/>
        </w:numPr>
        <w:ind w:left="851"/>
        <w:rPr>
          <w:bCs/>
          <w:i/>
        </w:rPr>
      </w:pPr>
    </w:p>
    <w:p w14:paraId="5BB3786C" w14:textId="77777777" w:rsidR="00095E54" w:rsidRPr="006948C7" w:rsidRDefault="00095E54" w:rsidP="008E0ED1">
      <w:pPr>
        <w:rPr>
          <w:bCs/>
          <w:i/>
        </w:rPr>
      </w:pPr>
      <w:r>
        <w:rPr>
          <w:bCs/>
        </w:rPr>
        <w:t>The links between health and education are well established.  Healthy children are better able to learn, and higher levels of educational achievement are associated with better health.</w:t>
      </w:r>
    </w:p>
    <w:p w14:paraId="0F1F9C95" w14:textId="77777777" w:rsidR="006948C7" w:rsidRPr="006948C7" w:rsidRDefault="006948C7" w:rsidP="006948C7">
      <w:pPr>
        <w:pStyle w:val="ListParagraph"/>
        <w:numPr>
          <w:ilvl w:val="0"/>
          <w:numId w:val="0"/>
        </w:numPr>
        <w:ind w:left="1571"/>
        <w:rPr>
          <w:bCs/>
          <w:i/>
        </w:rPr>
      </w:pPr>
    </w:p>
    <w:p w14:paraId="4AC6AF55" w14:textId="77777777" w:rsidR="008E0ED1" w:rsidRPr="006948C7" w:rsidRDefault="008E0ED1" w:rsidP="008E0ED1">
      <w:pPr>
        <w:rPr>
          <w:bCs/>
          <w:i/>
        </w:rPr>
      </w:pPr>
      <w:r w:rsidRPr="00974D79">
        <w:rPr>
          <w:rFonts w:asciiTheme="minorHAnsi" w:hAnsiTheme="minorHAnsi"/>
          <w:bCs/>
        </w:rPr>
        <w:t xml:space="preserve">Food and nutrition education in schools is taught as part of the </w:t>
      </w:r>
      <w:r w:rsidR="00311D0A">
        <w:rPr>
          <w:rFonts w:asciiTheme="minorHAnsi" w:hAnsiTheme="minorHAnsi"/>
          <w:bCs/>
        </w:rPr>
        <w:t xml:space="preserve">Australian </w:t>
      </w:r>
      <w:r w:rsidR="006B0F15">
        <w:rPr>
          <w:rFonts w:asciiTheme="minorHAnsi" w:hAnsiTheme="minorHAnsi"/>
          <w:bCs/>
        </w:rPr>
        <w:t>C</w:t>
      </w:r>
      <w:r w:rsidRPr="00974D79">
        <w:rPr>
          <w:rFonts w:asciiTheme="minorHAnsi" w:hAnsiTheme="minorHAnsi"/>
          <w:bCs/>
        </w:rPr>
        <w:t xml:space="preserve">urriculum. </w:t>
      </w:r>
      <w:r w:rsidR="00095E54">
        <w:rPr>
          <w:rFonts w:asciiTheme="minorHAnsi" w:hAnsiTheme="minorHAnsi"/>
          <w:bCs/>
        </w:rPr>
        <w:t xml:space="preserve">This </w:t>
      </w:r>
      <w:r w:rsidRPr="00974D79">
        <w:rPr>
          <w:rFonts w:asciiTheme="minorHAnsi" w:hAnsiTheme="minorHAnsi"/>
          <w:bCs/>
        </w:rPr>
        <w:t>provides students with opportunities to learn about food production, the benefits of healthy eating, nutritionally sound choices</w:t>
      </w:r>
      <w:r>
        <w:rPr>
          <w:rFonts w:asciiTheme="minorHAnsi" w:hAnsiTheme="minorHAnsi" w:cs="Helvetica"/>
          <w:color w:val="000000"/>
        </w:rPr>
        <w:t xml:space="preserve">, and preparation of healthy foods. </w:t>
      </w:r>
    </w:p>
    <w:p w14:paraId="43413A5A" w14:textId="77777777" w:rsidR="006948C7" w:rsidRPr="006948C7" w:rsidRDefault="006948C7" w:rsidP="006948C7">
      <w:pPr>
        <w:pStyle w:val="ListParagraph"/>
        <w:numPr>
          <w:ilvl w:val="0"/>
          <w:numId w:val="0"/>
        </w:numPr>
        <w:ind w:left="1571"/>
        <w:rPr>
          <w:bCs/>
          <w:i/>
        </w:rPr>
      </w:pPr>
    </w:p>
    <w:p w14:paraId="38686CCE" w14:textId="77777777" w:rsidR="006948C7" w:rsidRPr="002F2D56" w:rsidRDefault="006948C7" w:rsidP="006948C7">
      <w:pPr>
        <w:rPr>
          <w:bCs/>
        </w:rPr>
      </w:pPr>
      <w:r>
        <w:t xml:space="preserve">The </w:t>
      </w:r>
      <w:r w:rsidRPr="00974D79">
        <w:rPr>
          <w:i/>
        </w:rPr>
        <w:t>Australian Dietary Guidelines 2013</w:t>
      </w:r>
      <w:r>
        <w:rPr>
          <w:i/>
        </w:rPr>
        <w:t xml:space="preserve"> </w:t>
      </w:r>
      <w:r>
        <w:t>use the best available scientific evidence to provide information on the types and amounts of foods and drinks that promote health and wellbeing, reduce the risk of diet-related conditions, and reduce the risk of chronic disease.</w:t>
      </w:r>
      <w:r>
        <w:br/>
      </w:r>
    </w:p>
    <w:p w14:paraId="1922FA13" w14:textId="77777777" w:rsidR="008E0ED1" w:rsidRPr="0019760C" w:rsidRDefault="006948C7" w:rsidP="008E0ED1">
      <w:pPr>
        <w:rPr>
          <w:bCs/>
          <w:i/>
        </w:rPr>
      </w:pPr>
      <w:r w:rsidRPr="0019760C">
        <w:rPr>
          <w:bCs/>
        </w:rPr>
        <w:t xml:space="preserve">The </w:t>
      </w:r>
      <w:r w:rsidRPr="0019760C">
        <w:rPr>
          <w:bCs/>
          <w:i/>
        </w:rPr>
        <w:t>National Healthy School Canteen Guidelines</w:t>
      </w:r>
      <w:r w:rsidRPr="0019760C">
        <w:rPr>
          <w:bCs/>
        </w:rPr>
        <w:t xml:space="preserve"> are consistent with the types and amounts of foods and drinks recommended for children and young people in the </w:t>
      </w:r>
      <w:r w:rsidRPr="0019760C">
        <w:rPr>
          <w:i/>
        </w:rPr>
        <w:t>Australian Dietary Guidelines 2013.</w:t>
      </w:r>
      <w:r w:rsidR="0019760C">
        <w:rPr>
          <w:i/>
        </w:rPr>
        <w:t xml:space="preserve"> </w:t>
      </w:r>
      <w:r w:rsidR="008E0ED1" w:rsidRPr="0019760C">
        <w:rPr>
          <w:bCs/>
        </w:rPr>
        <w:t xml:space="preserve">The </w:t>
      </w:r>
      <w:r w:rsidR="008E0ED1" w:rsidRPr="0019760C">
        <w:rPr>
          <w:i/>
        </w:rPr>
        <w:t xml:space="preserve">National Healthy School Canteen Guidelines </w:t>
      </w:r>
      <w:r w:rsidR="008E0ED1">
        <w:t xml:space="preserve">use a </w:t>
      </w:r>
      <w:r w:rsidR="008E0ED1" w:rsidRPr="0019760C">
        <w:rPr>
          <w:i/>
        </w:rPr>
        <w:t>traffic light system</w:t>
      </w:r>
      <w:r w:rsidR="008E0ED1">
        <w:t xml:space="preserve"> to categorise foods and drinks according to their nutritional value and levels of energy, fibre, </w:t>
      </w:r>
      <w:r w:rsidR="008E0ED1" w:rsidRPr="0019760C">
        <w:rPr>
          <w:bCs/>
        </w:rPr>
        <w:t>saturated fat, sugar and salt</w:t>
      </w:r>
      <w:r w:rsidR="008E0ED1">
        <w:t>.</w:t>
      </w:r>
    </w:p>
    <w:p w14:paraId="6DE05935" w14:textId="77777777" w:rsidR="0015507D" w:rsidRDefault="0015507D" w:rsidP="00A25B9E">
      <w:pPr>
        <w:numPr>
          <w:ilvl w:val="0"/>
          <w:numId w:val="0"/>
        </w:numPr>
        <w:tabs>
          <w:tab w:val="left" w:pos="851"/>
        </w:tabs>
      </w:pPr>
    </w:p>
    <w:p w14:paraId="52CB29D5" w14:textId="77777777" w:rsidR="001C7C61" w:rsidRPr="00826320" w:rsidRDefault="001C7C61" w:rsidP="00AA097E">
      <w:pPr>
        <w:pStyle w:val="Heading2"/>
      </w:pPr>
      <w:r w:rsidRPr="00826320">
        <w:t>DEFINITIONS</w:t>
      </w:r>
      <w:r w:rsidR="008A4C65" w:rsidRPr="00826320">
        <w:t xml:space="preserve"> </w:t>
      </w:r>
    </w:p>
    <w:p w14:paraId="5710B9A7" w14:textId="77777777" w:rsidR="00D75E90" w:rsidRPr="00D75E90" w:rsidRDefault="00D75E90" w:rsidP="00D75E90">
      <w:pPr>
        <w:numPr>
          <w:ilvl w:val="0"/>
          <w:numId w:val="0"/>
        </w:numPr>
        <w:ind w:left="851"/>
      </w:pPr>
    </w:p>
    <w:p w14:paraId="37AF1D60" w14:textId="77777777" w:rsidR="008879C9" w:rsidRDefault="007C0C48">
      <w:pPr>
        <w:rPr>
          <w:b/>
          <w:bCs/>
        </w:rPr>
      </w:pPr>
      <w:r w:rsidRPr="00226D92">
        <w:rPr>
          <w:rFonts w:asciiTheme="minorHAnsi" w:hAnsiTheme="minorHAnsi"/>
          <w:b/>
          <w:bCs/>
          <w:i/>
        </w:rPr>
        <w:t>Australian Dietary Guidelines 2013</w:t>
      </w:r>
      <w:r w:rsidR="006948C7">
        <w:rPr>
          <w:rFonts w:asciiTheme="minorHAnsi" w:hAnsiTheme="minorHAnsi"/>
          <w:bCs/>
        </w:rPr>
        <w:t>:</w:t>
      </w:r>
      <w:r w:rsidR="00DC51E8" w:rsidRPr="00CA4A69">
        <w:rPr>
          <w:rFonts w:asciiTheme="minorHAnsi" w:hAnsiTheme="minorHAnsi"/>
          <w:bCs/>
        </w:rPr>
        <w:t xml:space="preserve"> provide</w:t>
      </w:r>
      <w:r w:rsidR="000A2E21">
        <w:rPr>
          <w:rFonts w:asciiTheme="minorHAnsi" w:hAnsiTheme="minorHAnsi"/>
          <w:bCs/>
        </w:rPr>
        <w:t>s</w:t>
      </w:r>
      <w:r w:rsidR="00DC51E8" w:rsidRPr="00CA4A69">
        <w:rPr>
          <w:rFonts w:asciiTheme="minorHAnsi" w:hAnsiTheme="minorHAnsi"/>
          <w:bCs/>
        </w:rPr>
        <w:t xml:space="preserve"> advice about the amou</w:t>
      </w:r>
      <w:r w:rsidR="006B5772">
        <w:rPr>
          <w:rFonts w:asciiTheme="minorHAnsi" w:hAnsiTheme="minorHAnsi"/>
          <w:bCs/>
        </w:rPr>
        <w:t xml:space="preserve">nts and kinds of foods </w:t>
      </w:r>
      <w:r w:rsidR="00DC51E8" w:rsidRPr="00CA4A69">
        <w:rPr>
          <w:rFonts w:asciiTheme="minorHAnsi" w:hAnsiTheme="minorHAnsi"/>
          <w:bCs/>
        </w:rPr>
        <w:t>required to maintain health and wellbeing.</w:t>
      </w:r>
    </w:p>
    <w:p w14:paraId="5406C051" w14:textId="77777777" w:rsidR="00207C8A" w:rsidRDefault="00207C8A">
      <w:pPr>
        <w:numPr>
          <w:ilvl w:val="0"/>
          <w:numId w:val="0"/>
        </w:numPr>
        <w:ind w:left="851"/>
        <w:rPr>
          <w:b/>
          <w:bCs/>
        </w:rPr>
      </w:pPr>
    </w:p>
    <w:p w14:paraId="220CD877" w14:textId="77777777" w:rsidR="00207C8A" w:rsidRPr="00CA4A69" w:rsidRDefault="008661F7" w:rsidP="00CA4A69">
      <w:pPr>
        <w:rPr>
          <w:rFonts w:asciiTheme="minorHAnsi" w:hAnsiTheme="minorHAnsi"/>
          <w:bCs/>
        </w:rPr>
      </w:pPr>
      <w:r w:rsidRPr="00226D92">
        <w:rPr>
          <w:rFonts w:asciiTheme="minorHAnsi" w:hAnsiTheme="minorHAnsi"/>
          <w:b/>
          <w:bCs/>
          <w:i/>
        </w:rPr>
        <w:t xml:space="preserve">National Healthy School Canteens: Guidelines for healthy foods and drinks supplied in school canteens </w:t>
      </w:r>
      <w:r w:rsidR="004B1736" w:rsidRPr="004B1736">
        <w:rPr>
          <w:rFonts w:asciiTheme="minorHAnsi" w:hAnsiTheme="minorHAnsi"/>
          <w:bCs/>
          <w:i/>
        </w:rPr>
        <w:t>(updated)</w:t>
      </w:r>
      <w:r w:rsidR="004B1736">
        <w:rPr>
          <w:rFonts w:asciiTheme="minorHAnsi" w:hAnsiTheme="minorHAnsi"/>
          <w:b/>
          <w:bCs/>
          <w:i/>
        </w:rPr>
        <w:t xml:space="preserve"> 2013</w:t>
      </w:r>
      <w:r w:rsidR="006948C7">
        <w:rPr>
          <w:rFonts w:asciiTheme="minorHAnsi" w:hAnsiTheme="minorHAnsi"/>
          <w:bCs/>
        </w:rPr>
        <w:t>:</w:t>
      </w:r>
      <w:r w:rsidR="00856708" w:rsidRPr="00CA4A69">
        <w:rPr>
          <w:rFonts w:asciiTheme="minorHAnsi" w:hAnsiTheme="minorHAnsi"/>
          <w:bCs/>
        </w:rPr>
        <w:t xml:space="preserve"> </w:t>
      </w:r>
      <w:r w:rsidR="007C0C48" w:rsidRPr="00CA4A69">
        <w:rPr>
          <w:rFonts w:asciiTheme="minorHAnsi" w:hAnsiTheme="minorHAnsi"/>
          <w:bCs/>
        </w:rPr>
        <w:t xml:space="preserve">have been designed for use in school canteens, and </w:t>
      </w:r>
      <w:r w:rsidR="005D04A1">
        <w:rPr>
          <w:rFonts w:asciiTheme="minorHAnsi" w:hAnsiTheme="minorHAnsi"/>
          <w:bCs/>
        </w:rPr>
        <w:t xml:space="preserve">provide </w:t>
      </w:r>
      <w:r w:rsidR="007C0C48" w:rsidRPr="00CA4A69">
        <w:rPr>
          <w:rFonts w:asciiTheme="minorHAnsi" w:hAnsiTheme="minorHAnsi"/>
          <w:bCs/>
        </w:rPr>
        <w:t xml:space="preserve">useful </w:t>
      </w:r>
      <w:r w:rsidR="004B1736">
        <w:rPr>
          <w:rFonts w:asciiTheme="minorHAnsi" w:hAnsiTheme="minorHAnsi"/>
          <w:bCs/>
        </w:rPr>
        <w:t xml:space="preserve">guidance </w:t>
      </w:r>
      <w:r w:rsidR="007C0C48" w:rsidRPr="00CA4A69">
        <w:rPr>
          <w:rFonts w:asciiTheme="minorHAnsi" w:hAnsiTheme="minorHAnsi"/>
          <w:bCs/>
        </w:rPr>
        <w:t>for other school activities where food</w:t>
      </w:r>
      <w:r w:rsidR="00856708" w:rsidRPr="00CA4A69">
        <w:rPr>
          <w:rFonts w:asciiTheme="minorHAnsi" w:hAnsiTheme="minorHAnsi"/>
          <w:bCs/>
        </w:rPr>
        <w:t>s</w:t>
      </w:r>
      <w:r w:rsidR="007C0C48" w:rsidRPr="00CA4A69">
        <w:rPr>
          <w:rFonts w:asciiTheme="minorHAnsi" w:hAnsiTheme="minorHAnsi"/>
          <w:bCs/>
        </w:rPr>
        <w:t xml:space="preserve"> </w:t>
      </w:r>
      <w:r w:rsidR="00856708" w:rsidRPr="00CA4A69">
        <w:rPr>
          <w:rFonts w:asciiTheme="minorHAnsi" w:hAnsiTheme="minorHAnsi"/>
          <w:bCs/>
        </w:rPr>
        <w:t xml:space="preserve">and drinks are </w:t>
      </w:r>
      <w:r w:rsidR="007C0C48" w:rsidRPr="00CA4A69">
        <w:rPr>
          <w:rFonts w:asciiTheme="minorHAnsi" w:hAnsiTheme="minorHAnsi"/>
          <w:bCs/>
        </w:rPr>
        <w:t xml:space="preserve">provided or </w:t>
      </w:r>
      <w:r w:rsidR="00856708" w:rsidRPr="00CA4A69">
        <w:rPr>
          <w:rFonts w:asciiTheme="minorHAnsi" w:hAnsiTheme="minorHAnsi"/>
          <w:bCs/>
        </w:rPr>
        <w:t>sold.</w:t>
      </w:r>
      <w:r w:rsidR="00243C37" w:rsidRPr="00CA4A69">
        <w:rPr>
          <w:rFonts w:asciiTheme="minorHAnsi" w:hAnsiTheme="minorHAnsi"/>
          <w:bCs/>
        </w:rPr>
        <w:t xml:space="preserve"> This policy</w:t>
      </w:r>
      <w:r w:rsidR="005B143C" w:rsidRPr="00CA4A69">
        <w:rPr>
          <w:rFonts w:asciiTheme="minorHAnsi" w:hAnsiTheme="minorHAnsi"/>
          <w:bCs/>
        </w:rPr>
        <w:t xml:space="preserve"> applies </w:t>
      </w:r>
      <w:r w:rsidR="00243C37" w:rsidRPr="00CA4A69">
        <w:rPr>
          <w:rFonts w:asciiTheme="minorHAnsi" w:hAnsiTheme="minorHAnsi"/>
          <w:bCs/>
        </w:rPr>
        <w:t xml:space="preserve">the Guidelines to </w:t>
      </w:r>
      <w:r w:rsidR="00881E1F" w:rsidRPr="00CA4A69">
        <w:rPr>
          <w:rFonts w:asciiTheme="minorHAnsi" w:hAnsiTheme="minorHAnsi"/>
          <w:bCs/>
        </w:rPr>
        <w:t>all school activities.</w:t>
      </w:r>
    </w:p>
    <w:p w14:paraId="61D91C6E" w14:textId="77777777" w:rsidR="00207C8A" w:rsidRDefault="00207C8A">
      <w:pPr>
        <w:numPr>
          <w:ilvl w:val="0"/>
          <w:numId w:val="0"/>
        </w:numPr>
        <w:ind w:left="851"/>
      </w:pPr>
    </w:p>
    <w:p w14:paraId="1D729229" w14:textId="77777777" w:rsidR="00D75E90" w:rsidRPr="00826320" w:rsidRDefault="00856708" w:rsidP="00826320">
      <w:pPr>
        <w:rPr>
          <w:rFonts w:asciiTheme="minorHAnsi" w:hAnsiTheme="minorHAnsi"/>
          <w:bCs/>
        </w:rPr>
      </w:pPr>
      <w:r w:rsidRPr="00226D92">
        <w:rPr>
          <w:rFonts w:asciiTheme="minorHAnsi" w:hAnsiTheme="minorHAnsi"/>
          <w:b/>
          <w:bCs/>
        </w:rPr>
        <w:t xml:space="preserve">School </w:t>
      </w:r>
      <w:r w:rsidR="00D75E90" w:rsidRPr="00226D92">
        <w:rPr>
          <w:rFonts w:asciiTheme="minorHAnsi" w:hAnsiTheme="minorHAnsi"/>
          <w:b/>
          <w:bCs/>
        </w:rPr>
        <w:t>Canteen</w:t>
      </w:r>
      <w:r w:rsidR="00226D92">
        <w:rPr>
          <w:rFonts w:asciiTheme="minorHAnsi" w:hAnsiTheme="minorHAnsi"/>
          <w:bCs/>
        </w:rPr>
        <w:t>:</w:t>
      </w:r>
      <w:r w:rsidR="00D75E90" w:rsidRPr="00826320">
        <w:rPr>
          <w:rFonts w:asciiTheme="minorHAnsi" w:hAnsiTheme="minorHAnsi"/>
          <w:bCs/>
        </w:rPr>
        <w:t xml:space="preserve"> is a food business/food service provider that su</w:t>
      </w:r>
      <w:r w:rsidRPr="00826320">
        <w:rPr>
          <w:rFonts w:asciiTheme="minorHAnsi" w:hAnsiTheme="minorHAnsi"/>
          <w:bCs/>
        </w:rPr>
        <w:t>pplies</w:t>
      </w:r>
      <w:r w:rsidR="00D75E90" w:rsidRPr="00826320">
        <w:rPr>
          <w:rFonts w:asciiTheme="minorHAnsi" w:hAnsiTheme="minorHAnsi"/>
          <w:bCs/>
        </w:rPr>
        <w:t xml:space="preserve"> food</w:t>
      </w:r>
      <w:r w:rsidRPr="00826320">
        <w:rPr>
          <w:rFonts w:asciiTheme="minorHAnsi" w:hAnsiTheme="minorHAnsi"/>
          <w:bCs/>
        </w:rPr>
        <w:t>s</w:t>
      </w:r>
      <w:r w:rsidR="00D75E90" w:rsidRPr="00826320">
        <w:rPr>
          <w:rFonts w:asciiTheme="minorHAnsi" w:hAnsiTheme="minorHAnsi"/>
          <w:bCs/>
        </w:rPr>
        <w:t xml:space="preserve"> and drinks </w:t>
      </w:r>
      <w:r w:rsidRPr="00826320">
        <w:rPr>
          <w:rFonts w:asciiTheme="minorHAnsi" w:hAnsiTheme="minorHAnsi"/>
          <w:bCs/>
        </w:rPr>
        <w:t xml:space="preserve">for sale </w:t>
      </w:r>
      <w:r w:rsidR="00D75E90" w:rsidRPr="00826320">
        <w:rPr>
          <w:rFonts w:asciiTheme="minorHAnsi" w:hAnsiTheme="minorHAnsi"/>
          <w:bCs/>
        </w:rPr>
        <w:t>to a school population, primarily on the school premises during school hours.</w:t>
      </w:r>
    </w:p>
    <w:p w14:paraId="4F5DFBFF" w14:textId="77777777" w:rsidR="00207C8A" w:rsidRPr="00826320" w:rsidRDefault="00207C8A" w:rsidP="00826320">
      <w:pPr>
        <w:numPr>
          <w:ilvl w:val="0"/>
          <w:numId w:val="0"/>
        </w:numPr>
        <w:rPr>
          <w:rFonts w:asciiTheme="minorHAnsi" w:hAnsiTheme="minorHAnsi"/>
          <w:bCs/>
        </w:rPr>
      </w:pPr>
    </w:p>
    <w:p w14:paraId="63993BF4" w14:textId="77777777" w:rsidR="00DC51E8" w:rsidRPr="00826320" w:rsidRDefault="00DC51E8" w:rsidP="00826320">
      <w:pPr>
        <w:rPr>
          <w:rFonts w:asciiTheme="minorHAnsi" w:hAnsiTheme="minorHAnsi"/>
          <w:bCs/>
        </w:rPr>
      </w:pPr>
      <w:r w:rsidRPr="00226D92">
        <w:rPr>
          <w:rFonts w:asciiTheme="minorHAnsi" w:hAnsiTheme="minorHAnsi"/>
          <w:b/>
          <w:bCs/>
        </w:rPr>
        <w:lastRenderedPageBreak/>
        <w:t>Traffic Light System</w:t>
      </w:r>
      <w:r w:rsidR="00226D92">
        <w:rPr>
          <w:rFonts w:asciiTheme="minorHAnsi" w:hAnsiTheme="minorHAnsi"/>
          <w:bCs/>
        </w:rPr>
        <w:t>:</w:t>
      </w:r>
      <w:r w:rsidRPr="00826320">
        <w:rPr>
          <w:rFonts w:asciiTheme="minorHAnsi" w:hAnsiTheme="minorHAnsi"/>
          <w:bCs/>
        </w:rPr>
        <w:t xml:space="preserve"> </w:t>
      </w:r>
      <w:r w:rsidR="00696E39">
        <w:rPr>
          <w:rFonts w:asciiTheme="minorHAnsi" w:hAnsiTheme="minorHAnsi"/>
          <w:bCs/>
        </w:rPr>
        <w:t xml:space="preserve">The </w:t>
      </w:r>
      <w:r w:rsidR="00696E39" w:rsidRPr="00696E39">
        <w:rPr>
          <w:rFonts w:asciiTheme="minorHAnsi" w:hAnsiTheme="minorHAnsi"/>
          <w:bCs/>
          <w:i/>
        </w:rPr>
        <w:t>National Healthy School Canteens: Guidelines for healthy foods and drinks supplied in school canteens 201</w:t>
      </w:r>
      <w:r w:rsidR="004B1736">
        <w:rPr>
          <w:rFonts w:asciiTheme="minorHAnsi" w:hAnsiTheme="minorHAnsi"/>
          <w:bCs/>
          <w:i/>
        </w:rPr>
        <w:t>3</w:t>
      </w:r>
      <w:r w:rsidR="00696E39">
        <w:rPr>
          <w:rFonts w:asciiTheme="minorHAnsi" w:hAnsiTheme="minorHAnsi"/>
          <w:b/>
          <w:bCs/>
          <w:i/>
        </w:rPr>
        <w:t xml:space="preserve"> </w:t>
      </w:r>
      <w:r w:rsidR="00696E39">
        <w:rPr>
          <w:rFonts w:asciiTheme="minorHAnsi" w:hAnsiTheme="minorHAnsi"/>
          <w:bCs/>
        </w:rPr>
        <w:t xml:space="preserve">uses a Traffic Light System to </w:t>
      </w:r>
      <w:r w:rsidRPr="00826320">
        <w:rPr>
          <w:rFonts w:asciiTheme="minorHAnsi" w:hAnsiTheme="minorHAnsi"/>
          <w:bCs/>
        </w:rPr>
        <w:t>categorise foods and drinks as GREEN, AMBER or RED depending on their nutritional value and levels of saturated fat, sugar and salt.</w:t>
      </w:r>
    </w:p>
    <w:p w14:paraId="089DE313" w14:textId="77777777" w:rsidR="00207C8A" w:rsidRPr="005D04A1" w:rsidRDefault="00207C8A">
      <w:pPr>
        <w:numPr>
          <w:ilvl w:val="0"/>
          <w:numId w:val="0"/>
        </w:numPr>
        <w:ind w:left="851"/>
      </w:pPr>
    </w:p>
    <w:p w14:paraId="2C1D04CE" w14:textId="77777777" w:rsidR="00A25B9E" w:rsidRDefault="008A4C65" w:rsidP="00AA097E">
      <w:pPr>
        <w:pStyle w:val="Heading2"/>
      </w:pPr>
      <w:r w:rsidRPr="00A25B9E">
        <w:t xml:space="preserve">LEGISLATION </w:t>
      </w:r>
    </w:p>
    <w:p w14:paraId="704E0F73" w14:textId="77777777" w:rsidR="00A25B9E" w:rsidRPr="00A25B9E" w:rsidRDefault="00A25B9E" w:rsidP="00A25B9E">
      <w:pPr>
        <w:numPr>
          <w:ilvl w:val="0"/>
          <w:numId w:val="0"/>
        </w:numPr>
        <w:ind w:left="851"/>
      </w:pPr>
    </w:p>
    <w:p w14:paraId="7DB3ACF4" w14:textId="77777777" w:rsidR="00E53C2E" w:rsidRPr="00826320" w:rsidRDefault="00E53C2E" w:rsidP="00E53C2E">
      <w:pPr>
        <w:rPr>
          <w:b/>
          <w:bCs/>
          <w:i/>
        </w:rPr>
      </w:pPr>
      <w:r w:rsidRPr="007C0C48">
        <w:rPr>
          <w:b/>
          <w:bCs/>
          <w:i/>
        </w:rPr>
        <w:t>Australia New Zealand Food Standards Code</w:t>
      </w:r>
      <w:r w:rsidRPr="00826320">
        <w:rPr>
          <w:b/>
          <w:bCs/>
          <w:i/>
        </w:rPr>
        <w:t xml:space="preserve"> </w:t>
      </w:r>
    </w:p>
    <w:p w14:paraId="70FF0858" w14:textId="77777777" w:rsidR="00E53C2E" w:rsidRDefault="00E53C2E" w:rsidP="00E53C2E">
      <w:pPr>
        <w:numPr>
          <w:ilvl w:val="0"/>
          <w:numId w:val="0"/>
        </w:numPr>
        <w:ind w:left="851"/>
        <w:rPr>
          <w:b/>
          <w:bCs/>
        </w:rPr>
      </w:pPr>
    </w:p>
    <w:p w14:paraId="02F013FB" w14:textId="77777777" w:rsidR="00E53C2E" w:rsidRDefault="00E53C2E" w:rsidP="00E53C2E">
      <w:pPr>
        <w:numPr>
          <w:ilvl w:val="0"/>
          <w:numId w:val="0"/>
        </w:numPr>
        <w:ind w:left="851"/>
        <w:rPr>
          <w:b/>
          <w:bCs/>
        </w:rPr>
      </w:pPr>
      <w:r w:rsidRPr="007C0C48">
        <w:rPr>
          <w:bCs/>
          <w:i/>
        </w:rPr>
        <w:t xml:space="preserve">The Australia New </w:t>
      </w:r>
      <w:r>
        <w:rPr>
          <w:bCs/>
          <w:i/>
        </w:rPr>
        <w:t>Zealand</w:t>
      </w:r>
      <w:r w:rsidRPr="007C0C48">
        <w:rPr>
          <w:bCs/>
          <w:i/>
        </w:rPr>
        <w:t xml:space="preserve"> Food </w:t>
      </w:r>
      <w:r>
        <w:rPr>
          <w:bCs/>
          <w:i/>
        </w:rPr>
        <w:t>Standards</w:t>
      </w:r>
      <w:r w:rsidRPr="007C0C48">
        <w:rPr>
          <w:bCs/>
          <w:i/>
        </w:rPr>
        <w:t xml:space="preserve"> Code</w:t>
      </w:r>
      <w:r>
        <w:rPr>
          <w:b/>
          <w:bCs/>
        </w:rPr>
        <w:t xml:space="preserve"> </w:t>
      </w:r>
      <w:r w:rsidRPr="007C0C48">
        <w:rPr>
          <w:bCs/>
        </w:rPr>
        <w:t>provides standards to</w:t>
      </w:r>
      <w:r w:rsidRPr="00196D0A">
        <w:rPr>
          <w:lang w:eastAsia="en-AU"/>
        </w:rPr>
        <w:t xml:space="preserve"> ensure</w:t>
      </w:r>
      <w:r w:rsidRPr="00627C87">
        <w:rPr>
          <w:lang w:eastAsia="en-AU"/>
        </w:rPr>
        <w:t xml:space="preserve"> food in Australia and New Zealand is safe and suitable for human consumption. It includes standards for food additives, food safety, labe</w:t>
      </w:r>
      <w:r w:rsidR="00971F12">
        <w:rPr>
          <w:lang w:eastAsia="en-AU"/>
        </w:rPr>
        <w:t>l</w:t>
      </w:r>
      <w:r w:rsidRPr="00627C87">
        <w:rPr>
          <w:lang w:eastAsia="en-AU"/>
        </w:rPr>
        <w:t>ling and foods that need pre-approval such as genetically modified (GM) foods.</w:t>
      </w:r>
      <w:r>
        <w:rPr>
          <w:lang w:eastAsia="en-AU"/>
        </w:rPr>
        <w:br/>
      </w:r>
    </w:p>
    <w:p w14:paraId="4F3B28F9" w14:textId="77777777" w:rsidR="00E53C2E" w:rsidRPr="00826320" w:rsidRDefault="00E53C2E" w:rsidP="00E53C2E">
      <w:pPr>
        <w:rPr>
          <w:b/>
          <w:bCs/>
          <w:i/>
        </w:rPr>
      </w:pPr>
      <w:r w:rsidRPr="007C0C48">
        <w:rPr>
          <w:b/>
          <w:bCs/>
          <w:i/>
        </w:rPr>
        <w:t>Children and Young People Act 2008</w:t>
      </w:r>
      <w:r w:rsidRPr="00826320">
        <w:rPr>
          <w:b/>
          <w:bCs/>
          <w:i/>
        </w:rPr>
        <w:t xml:space="preserve"> (ACT)</w:t>
      </w:r>
    </w:p>
    <w:p w14:paraId="2B9FB96B" w14:textId="77777777" w:rsidR="00E53C2E" w:rsidRDefault="00E53C2E" w:rsidP="00E53C2E">
      <w:pPr>
        <w:numPr>
          <w:ilvl w:val="0"/>
          <w:numId w:val="0"/>
        </w:numPr>
        <w:ind w:left="851"/>
      </w:pPr>
    </w:p>
    <w:p w14:paraId="29990A00" w14:textId="77777777" w:rsidR="00E53C2E" w:rsidRDefault="00E53C2E" w:rsidP="00E53C2E">
      <w:pPr>
        <w:numPr>
          <w:ilvl w:val="0"/>
          <w:numId w:val="0"/>
        </w:numPr>
        <w:ind w:left="851"/>
      </w:pPr>
      <w:r w:rsidRPr="00196D0A">
        <w:t xml:space="preserve">The </w:t>
      </w:r>
      <w:r w:rsidRPr="007C0C48">
        <w:rPr>
          <w:bCs/>
          <w:i/>
        </w:rPr>
        <w:t>Children and Young People Act 2008</w:t>
      </w:r>
      <w:r w:rsidRPr="007C0C48">
        <w:rPr>
          <w:bCs/>
        </w:rPr>
        <w:t xml:space="preserve"> (ACT)</w:t>
      </w:r>
      <w:r>
        <w:t xml:space="preserve"> provides for</w:t>
      </w:r>
      <w:r w:rsidRPr="00EC1A75">
        <w:t xml:space="preserve"> the wellbeing, care and</w:t>
      </w:r>
      <w:r>
        <w:t xml:space="preserve"> </w:t>
      </w:r>
      <w:r w:rsidRPr="00957AC2">
        <w:t>protection of children and young people in a way tha</w:t>
      </w:r>
      <w:r>
        <w:t>t:</w:t>
      </w:r>
    </w:p>
    <w:p w14:paraId="6F216A74" w14:textId="77777777" w:rsidR="00E53C2E" w:rsidRDefault="00E53C2E" w:rsidP="00091CE5">
      <w:pPr>
        <w:numPr>
          <w:ilvl w:val="0"/>
          <w:numId w:val="4"/>
        </w:numPr>
        <w:ind w:left="1276" w:hanging="425"/>
        <w:contextualSpacing w:val="0"/>
      </w:pPr>
      <w:r w:rsidRPr="00EC1A75">
        <w:t>recognises their right to grow in a safe and stable</w:t>
      </w:r>
      <w:r>
        <w:t xml:space="preserve"> </w:t>
      </w:r>
      <w:r w:rsidRPr="00957AC2">
        <w:t>environment</w:t>
      </w:r>
    </w:p>
    <w:p w14:paraId="6FFDD6C7" w14:textId="77777777" w:rsidR="00E53C2E" w:rsidRDefault="00E53C2E" w:rsidP="00091CE5">
      <w:pPr>
        <w:numPr>
          <w:ilvl w:val="0"/>
          <w:numId w:val="4"/>
        </w:numPr>
        <w:ind w:left="1276" w:hanging="425"/>
        <w:contextualSpacing w:val="0"/>
      </w:pPr>
      <w:r w:rsidRPr="00957AC2">
        <w:t>takes into account the responsibilities of parents, families,</w:t>
      </w:r>
      <w:r>
        <w:t xml:space="preserve"> </w:t>
      </w:r>
      <w:r w:rsidRPr="00957AC2">
        <w:t>the community and t</w:t>
      </w:r>
      <w:r>
        <w:t>he whole of government</w:t>
      </w:r>
    </w:p>
    <w:p w14:paraId="78258D32" w14:textId="77777777" w:rsidR="00E53C2E" w:rsidRPr="00957AC2" w:rsidRDefault="00E53C2E" w:rsidP="00091CE5">
      <w:pPr>
        <w:numPr>
          <w:ilvl w:val="0"/>
          <w:numId w:val="4"/>
        </w:numPr>
        <w:ind w:left="1276" w:hanging="425"/>
        <w:contextualSpacing w:val="0"/>
      </w:pPr>
      <w:r>
        <w:t>ensures</w:t>
      </w:r>
      <w:r w:rsidRPr="00EC1A75">
        <w:t xml:space="preserve"> that children and young people are provided with a</w:t>
      </w:r>
      <w:r>
        <w:t xml:space="preserve"> </w:t>
      </w:r>
      <w:r w:rsidRPr="00957AC2">
        <w:t>safe and nurturing environment by organisations and people</w:t>
      </w:r>
      <w:r>
        <w:t xml:space="preserve"> </w:t>
      </w:r>
      <w:r w:rsidRPr="00957AC2">
        <w:t>who, directly or indirectly, provide for their wellbeing, care</w:t>
      </w:r>
      <w:r>
        <w:t xml:space="preserve"> and protection.</w:t>
      </w:r>
      <w:r>
        <w:br/>
      </w:r>
    </w:p>
    <w:p w14:paraId="53A6AF93" w14:textId="77777777" w:rsidR="00D51720" w:rsidRPr="00D51720" w:rsidRDefault="00BE0DD5" w:rsidP="00670613">
      <w:pPr>
        <w:tabs>
          <w:tab w:val="clear" w:pos="851"/>
        </w:tabs>
        <w:rPr>
          <w:b/>
          <w:bCs/>
          <w:i/>
        </w:rPr>
      </w:pPr>
      <w:r w:rsidRPr="00BE0DD5">
        <w:rPr>
          <w:b/>
          <w:bCs/>
          <w:i/>
        </w:rPr>
        <w:t>Fair Work Act 2009</w:t>
      </w:r>
    </w:p>
    <w:p w14:paraId="3CAA7058" w14:textId="77777777" w:rsidR="005D04A1" w:rsidRDefault="005D04A1">
      <w:pPr>
        <w:numPr>
          <w:ilvl w:val="0"/>
          <w:numId w:val="0"/>
        </w:numPr>
        <w:ind w:left="851"/>
        <w:rPr>
          <w:b/>
          <w:bCs/>
        </w:rPr>
      </w:pPr>
    </w:p>
    <w:p w14:paraId="71A4C6EB" w14:textId="77777777" w:rsidR="00E51998" w:rsidRDefault="00BE0DD5">
      <w:pPr>
        <w:numPr>
          <w:ilvl w:val="0"/>
          <w:numId w:val="0"/>
        </w:numPr>
        <w:ind w:left="851"/>
        <w:rPr>
          <w:bCs/>
        </w:rPr>
      </w:pPr>
      <w:r w:rsidRPr="00BE0DD5">
        <w:rPr>
          <w:bCs/>
          <w:i/>
        </w:rPr>
        <w:t>The Fair Work Act 2009</w:t>
      </w:r>
      <w:r w:rsidRPr="00BE0DD5">
        <w:rPr>
          <w:bCs/>
        </w:rPr>
        <w:t xml:space="preserve"> </w:t>
      </w:r>
      <w:r w:rsidR="00D51720">
        <w:rPr>
          <w:bCs/>
        </w:rPr>
        <w:t>covers workplace relations and such matters as the payment of award wages, record keeping and the various rights and obligations of employers and their employees.</w:t>
      </w:r>
    </w:p>
    <w:p w14:paraId="5970153D" w14:textId="77777777" w:rsidR="00E51998" w:rsidRDefault="00BE0DD5">
      <w:pPr>
        <w:numPr>
          <w:ilvl w:val="0"/>
          <w:numId w:val="0"/>
        </w:numPr>
        <w:ind w:left="851"/>
        <w:rPr>
          <w:b/>
          <w:bCs/>
          <w:i/>
        </w:rPr>
      </w:pPr>
      <w:r w:rsidRPr="00BE0DD5">
        <w:rPr>
          <w:b/>
          <w:bCs/>
          <w:i/>
        </w:rPr>
        <w:t xml:space="preserve"> </w:t>
      </w:r>
    </w:p>
    <w:p w14:paraId="3BEBA658" w14:textId="77777777" w:rsidR="0006094C" w:rsidRPr="00826320" w:rsidRDefault="007C0C48" w:rsidP="00670613">
      <w:pPr>
        <w:tabs>
          <w:tab w:val="clear" w:pos="851"/>
        </w:tabs>
        <w:rPr>
          <w:b/>
          <w:bCs/>
        </w:rPr>
      </w:pPr>
      <w:r w:rsidRPr="007C0C48">
        <w:rPr>
          <w:b/>
          <w:bCs/>
          <w:i/>
        </w:rPr>
        <w:t>Food Act 2001</w:t>
      </w:r>
      <w:r w:rsidR="0006094C">
        <w:rPr>
          <w:b/>
          <w:bCs/>
        </w:rPr>
        <w:t xml:space="preserve"> </w:t>
      </w:r>
      <w:r w:rsidR="0006094C" w:rsidRPr="00896A78">
        <w:rPr>
          <w:b/>
          <w:bCs/>
        </w:rPr>
        <w:t>(ACT)</w:t>
      </w:r>
      <w:r w:rsidR="00C35A35" w:rsidRPr="00C35A35">
        <w:rPr>
          <w:b/>
          <w:bCs/>
        </w:rPr>
        <w:t xml:space="preserve"> </w:t>
      </w:r>
      <w:r w:rsidR="00C35A35">
        <w:rPr>
          <w:b/>
          <w:bCs/>
        </w:rPr>
        <w:t xml:space="preserve">and the </w:t>
      </w:r>
      <w:r w:rsidR="00C35A35" w:rsidRPr="00D331A1">
        <w:rPr>
          <w:b/>
          <w:bCs/>
          <w:i/>
        </w:rPr>
        <w:t>Food Regulation 2002</w:t>
      </w:r>
      <w:r w:rsidR="00C35A35">
        <w:rPr>
          <w:b/>
          <w:bCs/>
        </w:rPr>
        <w:t xml:space="preserve"> (ACT), </w:t>
      </w:r>
    </w:p>
    <w:p w14:paraId="5A5947FF" w14:textId="77777777" w:rsidR="00207C8A" w:rsidRDefault="00207C8A">
      <w:pPr>
        <w:numPr>
          <w:ilvl w:val="0"/>
          <w:numId w:val="0"/>
        </w:numPr>
        <w:ind w:left="709"/>
        <w:rPr>
          <w:bCs/>
        </w:rPr>
      </w:pPr>
    </w:p>
    <w:p w14:paraId="2E2BED29" w14:textId="77777777" w:rsidR="00207C8A" w:rsidRDefault="0006094C" w:rsidP="00670613">
      <w:pPr>
        <w:numPr>
          <w:ilvl w:val="0"/>
          <w:numId w:val="0"/>
        </w:numPr>
        <w:ind w:left="851"/>
        <w:rPr>
          <w:bCs/>
        </w:rPr>
      </w:pPr>
      <w:r>
        <w:rPr>
          <w:rFonts w:eastAsia="Calibri"/>
          <w:lang w:eastAsia="en-AU"/>
        </w:rPr>
        <w:t>The</w:t>
      </w:r>
      <w:r w:rsidRPr="00896A78">
        <w:rPr>
          <w:rFonts w:eastAsia="Calibri"/>
          <w:i/>
          <w:lang w:eastAsia="en-AU"/>
        </w:rPr>
        <w:t xml:space="preserve"> Food Act 2001 (ACT)</w:t>
      </w:r>
      <w:r w:rsidRPr="009A547D">
        <w:rPr>
          <w:rFonts w:eastAsia="Calibri"/>
          <w:lang w:eastAsia="en-AU"/>
        </w:rPr>
        <w:t xml:space="preserve"> </w:t>
      </w:r>
      <w:r w:rsidR="00C35A35">
        <w:rPr>
          <w:rFonts w:eastAsia="Calibri"/>
          <w:lang w:eastAsia="en-AU"/>
        </w:rPr>
        <w:t xml:space="preserve">and the </w:t>
      </w:r>
      <w:r w:rsidR="00C35A35" w:rsidRPr="00D331A1">
        <w:rPr>
          <w:rFonts w:eastAsia="Calibri"/>
          <w:i/>
          <w:lang w:eastAsia="en-AU"/>
        </w:rPr>
        <w:t>Food Regulation 2002</w:t>
      </w:r>
      <w:r w:rsidR="00C35A35">
        <w:rPr>
          <w:rFonts w:eastAsia="Calibri"/>
          <w:i/>
          <w:lang w:eastAsia="en-AU"/>
        </w:rPr>
        <w:t xml:space="preserve"> (ACT) </w:t>
      </w:r>
      <w:r w:rsidRPr="009A547D">
        <w:rPr>
          <w:rFonts w:eastAsia="Calibri"/>
          <w:lang w:eastAsia="en-AU"/>
        </w:rPr>
        <w:t xml:space="preserve">regulate </w:t>
      </w:r>
      <w:r w:rsidRPr="001A30A3">
        <w:rPr>
          <w:rFonts w:eastAsia="Calibri"/>
          <w:lang w:eastAsia="en-AU"/>
        </w:rPr>
        <w:t>the sale of food for human consumption, and for other purposes.</w:t>
      </w:r>
      <w:r w:rsidRPr="001A30A3">
        <w:rPr>
          <w:rFonts w:ascii="Times New Roman" w:eastAsia="Calibri" w:hAnsi="Times New Roman"/>
          <w:szCs w:val="24"/>
          <w:lang w:eastAsia="en-AU"/>
        </w:rPr>
        <w:t xml:space="preserve">  </w:t>
      </w:r>
      <w:r w:rsidRPr="009A547D">
        <w:rPr>
          <w:bCs/>
        </w:rPr>
        <w:t xml:space="preserve">The </w:t>
      </w:r>
      <w:r w:rsidR="00C35A35">
        <w:rPr>
          <w:bCs/>
          <w:i/>
        </w:rPr>
        <w:t>ACT Public School Food and Drink Policy</w:t>
      </w:r>
      <w:r>
        <w:rPr>
          <w:bCs/>
          <w:i/>
        </w:rPr>
        <w:t>,</w:t>
      </w:r>
      <w:r w:rsidRPr="009A547D">
        <w:rPr>
          <w:bCs/>
        </w:rPr>
        <w:t xml:space="preserve"> and </w:t>
      </w:r>
      <w:r w:rsidR="00C35A35">
        <w:rPr>
          <w:bCs/>
        </w:rPr>
        <w:t>supporting materials</w:t>
      </w:r>
      <w:r w:rsidRPr="009A547D">
        <w:rPr>
          <w:bCs/>
        </w:rPr>
        <w:t xml:space="preserve"> </w:t>
      </w:r>
      <w:r w:rsidR="00881E1F">
        <w:rPr>
          <w:bCs/>
        </w:rPr>
        <w:t>align with</w:t>
      </w:r>
      <w:r w:rsidRPr="009A547D">
        <w:rPr>
          <w:bCs/>
        </w:rPr>
        <w:t xml:space="preserve"> the </w:t>
      </w:r>
      <w:r w:rsidRPr="009A547D">
        <w:rPr>
          <w:bCs/>
          <w:i/>
        </w:rPr>
        <w:t>Food Act</w:t>
      </w:r>
      <w:r w:rsidRPr="009A547D">
        <w:rPr>
          <w:b/>
          <w:bCs/>
          <w:i/>
        </w:rPr>
        <w:t xml:space="preserve"> </w:t>
      </w:r>
      <w:r w:rsidRPr="009A547D">
        <w:rPr>
          <w:bCs/>
        </w:rPr>
        <w:t>by:</w:t>
      </w:r>
    </w:p>
    <w:p w14:paraId="66360A78" w14:textId="77777777" w:rsidR="0006094C" w:rsidRPr="009A547D" w:rsidRDefault="0006094C" w:rsidP="00670613">
      <w:pPr>
        <w:numPr>
          <w:ilvl w:val="0"/>
          <w:numId w:val="4"/>
        </w:numPr>
        <w:ind w:left="851" w:firstLine="0"/>
        <w:contextualSpacing w:val="0"/>
      </w:pPr>
      <w:r w:rsidRPr="009A547D">
        <w:t>ensuring food for sale is sa</w:t>
      </w:r>
      <w:r>
        <w:t>fe and suitable for consumption</w:t>
      </w:r>
    </w:p>
    <w:p w14:paraId="423C8FDC" w14:textId="77777777" w:rsidR="0006094C" w:rsidRPr="009A547D" w:rsidRDefault="0006094C" w:rsidP="00670613">
      <w:pPr>
        <w:numPr>
          <w:ilvl w:val="0"/>
          <w:numId w:val="4"/>
        </w:numPr>
        <w:ind w:left="851" w:firstLine="0"/>
        <w:contextualSpacing w:val="0"/>
      </w:pPr>
      <w:r w:rsidRPr="009A547D">
        <w:t>preventing misleading conduct in re</w:t>
      </w:r>
      <w:r>
        <w:t>lation to the sale of food</w:t>
      </w:r>
    </w:p>
    <w:p w14:paraId="2867C4D6" w14:textId="77777777" w:rsidR="00207C8A" w:rsidRDefault="0006094C" w:rsidP="00670613">
      <w:pPr>
        <w:numPr>
          <w:ilvl w:val="0"/>
          <w:numId w:val="4"/>
        </w:numPr>
        <w:ind w:left="851" w:firstLine="0"/>
        <w:contextualSpacing w:val="0"/>
      </w:pPr>
      <w:r w:rsidRPr="009A547D">
        <w:t xml:space="preserve">adopting the </w:t>
      </w:r>
      <w:r w:rsidRPr="00896A78">
        <w:rPr>
          <w:i/>
        </w:rPr>
        <w:t>Australia New Zealand Food Standards Code</w:t>
      </w:r>
      <w:r w:rsidRPr="009A547D">
        <w:t>.</w:t>
      </w:r>
    </w:p>
    <w:p w14:paraId="2FF71E62" w14:textId="77777777" w:rsidR="00E53C2E" w:rsidRDefault="00E53C2E" w:rsidP="00970560">
      <w:pPr>
        <w:numPr>
          <w:ilvl w:val="0"/>
          <w:numId w:val="0"/>
        </w:numPr>
        <w:ind w:left="851"/>
        <w:contextualSpacing w:val="0"/>
      </w:pPr>
    </w:p>
    <w:p w14:paraId="36556ADF" w14:textId="77777777" w:rsidR="00971F12" w:rsidRPr="000D2F80" w:rsidRDefault="00971F12" w:rsidP="00970560">
      <w:pPr>
        <w:numPr>
          <w:ilvl w:val="0"/>
          <w:numId w:val="0"/>
        </w:numPr>
        <w:ind w:left="851"/>
        <w:contextualSpacing w:val="0"/>
      </w:pPr>
      <w:r>
        <w:t xml:space="preserve">Although the </w:t>
      </w:r>
      <w:r w:rsidR="00E02A8C" w:rsidRPr="00E02A8C">
        <w:rPr>
          <w:i/>
        </w:rPr>
        <w:t>Food Act 2001</w:t>
      </w:r>
      <w:r>
        <w:t xml:space="preserve"> applies to school canteens, it </w:t>
      </w:r>
      <w:r w:rsidR="000D2F80">
        <w:t>may</w:t>
      </w:r>
      <w:r>
        <w:t xml:space="preserve"> not apply to</w:t>
      </w:r>
      <w:r w:rsidR="000D2F80">
        <w:t xml:space="preserve"> </w:t>
      </w:r>
      <w:r>
        <w:t>food sales</w:t>
      </w:r>
      <w:r w:rsidR="000D2F80">
        <w:t xml:space="preserve"> by volunteers for a Parents and Citizens Association for the purposes of fundraising. Details of exemptions for non-profit community organisations can be found in the </w:t>
      </w:r>
      <w:r w:rsidR="000D2F80" w:rsidRPr="000D2F80">
        <w:rPr>
          <w:i/>
        </w:rPr>
        <w:t>Food Act 2001</w:t>
      </w:r>
      <w:r w:rsidR="000D2F80">
        <w:rPr>
          <w:i/>
        </w:rPr>
        <w:t xml:space="preserve">, </w:t>
      </w:r>
      <w:r w:rsidR="00E02A8C" w:rsidRPr="00E02A8C">
        <w:t xml:space="preserve">or by contacting </w:t>
      </w:r>
      <w:r w:rsidR="00BB286F">
        <w:t xml:space="preserve">the </w:t>
      </w:r>
      <w:r w:rsidR="00E02A8C" w:rsidRPr="00E02A8C">
        <w:t xml:space="preserve">Health </w:t>
      </w:r>
      <w:r w:rsidR="00BB286F">
        <w:t>P</w:t>
      </w:r>
      <w:r w:rsidR="00E02A8C" w:rsidRPr="00E02A8C">
        <w:t>rotection Service on</w:t>
      </w:r>
      <w:r w:rsidR="000D2F80">
        <w:t xml:space="preserve"> 6205 1700</w:t>
      </w:r>
      <w:r w:rsidR="00BB286F">
        <w:t xml:space="preserve"> or hps@act.gov.au</w:t>
      </w:r>
      <w:r w:rsidR="000D2F80">
        <w:t>.</w:t>
      </w:r>
    </w:p>
    <w:p w14:paraId="05F1BB9E" w14:textId="77777777" w:rsidR="004942BA" w:rsidRDefault="004942BA">
      <w:pPr>
        <w:numPr>
          <w:ilvl w:val="0"/>
          <w:numId w:val="0"/>
        </w:numPr>
        <w:spacing w:after="200" w:line="276" w:lineRule="auto"/>
        <w:contextualSpacing w:val="0"/>
      </w:pPr>
    </w:p>
    <w:p w14:paraId="25B73E45" w14:textId="77777777" w:rsidR="00207C8A" w:rsidRPr="00826320" w:rsidRDefault="007C0C48" w:rsidP="00027CDF">
      <w:pPr>
        <w:rPr>
          <w:b/>
          <w:bCs/>
          <w:i/>
        </w:rPr>
      </w:pPr>
      <w:r w:rsidRPr="007C0C48">
        <w:rPr>
          <w:b/>
          <w:bCs/>
          <w:i/>
        </w:rPr>
        <w:t>Work Health and Safety Act 2011</w:t>
      </w:r>
      <w:r w:rsidR="0006094C" w:rsidRPr="00826320">
        <w:rPr>
          <w:b/>
          <w:bCs/>
          <w:i/>
        </w:rPr>
        <w:t xml:space="preserve"> (ACT) </w:t>
      </w:r>
    </w:p>
    <w:p w14:paraId="01DC9471" w14:textId="77777777" w:rsidR="00207C8A" w:rsidRDefault="00207C8A" w:rsidP="00670613">
      <w:pPr>
        <w:numPr>
          <w:ilvl w:val="0"/>
          <w:numId w:val="0"/>
        </w:numPr>
        <w:ind w:left="851"/>
        <w:rPr>
          <w:b/>
          <w:bCs/>
        </w:rPr>
      </w:pPr>
    </w:p>
    <w:p w14:paraId="06376F72" w14:textId="77777777" w:rsidR="00207C8A" w:rsidRDefault="007C0C48" w:rsidP="00670613">
      <w:pPr>
        <w:numPr>
          <w:ilvl w:val="0"/>
          <w:numId w:val="0"/>
        </w:numPr>
        <w:ind w:left="851"/>
        <w:rPr>
          <w:b/>
          <w:bCs/>
        </w:rPr>
      </w:pPr>
      <w:r w:rsidRPr="007C0C48">
        <w:rPr>
          <w:i/>
          <w:lang w:eastAsia="en-AU"/>
        </w:rPr>
        <w:t>The Work Health and Safety Act 2011 (ACT)</w:t>
      </w:r>
      <w:r w:rsidR="0006094C">
        <w:rPr>
          <w:lang w:eastAsia="en-AU"/>
        </w:rPr>
        <w:t xml:space="preserve"> </w:t>
      </w:r>
      <w:r w:rsidR="00196D0A" w:rsidRPr="00196D0A">
        <w:rPr>
          <w:lang w:eastAsia="en-AU"/>
        </w:rPr>
        <w:t xml:space="preserve">aims to </w:t>
      </w:r>
      <w:r w:rsidR="00627C87" w:rsidRPr="00627C87">
        <w:rPr>
          <w:lang w:eastAsia="en-AU"/>
        </w:rPr>
        <w:t>secure and</w:t>
      </w:r>
      <w:r w:rsidRPr="007C0C48">
        <w:rPr>
          <w:lang w:eastAsia="en-AU"/>
        </w:rPr>
        <w:t xml:space="preserve"> promote work safety, eliminate risks to work safety at the source, to protect people at work from injury and </w:t>
      </w:r>
      <w:r w:rsidRPr="007C0C48">
        <w:rPr>
          <w:lang w:eastAsia="en-AU"/>
        </w:rPr>
        <w:lastRenderedPageBreak/>
        <w:t>illness, to foster cooperation and consultation between employers and workers and to provide a framework for continuous improvement and higher standards of work safety.</w:t>
      </w:r>
    </w:p>
    <w:p w14:paraId="17BB2B55" w14:textId="77777777" w:rsidR="00207C8A" w:rsidRDefault="00207C8A" w:rsidP="00670613">
      <w:pPr>
        <w:numPr>
          <w:ilvl w:val="0"/>
          <w:numId w:val="0"/>
        </w:numPr>
        <w:ind w:left="851"/>
        <w:rPr>
          <w:b/>
          <w:bCs/>
          <w:highlight w:val="yellow"/>
        </w:rPr>
      </w:pPr>
    </w:p>
    <w:p w14:paraId="027A07DB" w14:textId="77777777" w:rsidR="00974D79" w:rsidRPr="0006094C" w:rsidRDefault="0006094C" w:rsidP="00670613">
      <w:pPr>
        <w:numPr>
          <w:ilvl w:val="0"/>
          <w:numId w:val="0"/>
        </w:numPr>
        <w:tabs>
          <w:tab w:val="left" w:pos="851"/>
        </w:tabs>
        <w:ind w:left="851" w:hanging="851"/>
        <w:rPr>
          <w:b/>
          <w:i/>
        </w:rPr>
      </w:pPr>
      <w:r>
        <w:t>4.5</w:t>
      </w:r>
      <w:r>
        <w:tab/>
      </w:r>
      <w:r>
        <w:rPr>
          <w:b/>
          <w:i/>
        </w:rPr>
        <w:t>Working with Vulnerable People (Background Checking) Act 2011 (ACT)</w:t>
      </w:r>
    </w:p>
    <w:p w14:paraId="1E8C18B1" w14:textId="77777777" w:rsidR="00D61286" w:rsidRPr="005D04A1" w:rsidRDefault="00D61286" w:rsidP="005D04A1">
      <w:pPr>
        <w:numPr>
          <w:ilvl w:val="0"/>
          <w:numId w:val="0"/>
        </w:numPr>
        <w:ind w:left="851"/>
        <w:rPr>
          <w:b/>
          <w:bCs/>
          <w:highlight w:val="yellow"/>
        </w:rPr>
      </w:pPr>
    </w:p>
    <w:p w14:paraId="7F9BFC01" w14:textId="77777777" w:rsidR="002A5A21" w:rsidRPr="007471B4" w:rsidRDefault="007C0C48" w:rsidP="00670613">
      <w:pPr>
        <w:numPr>
          <w:ilvl w:val="0"/>
          <w:numId w:val="0"/>
        </w:numPr>
        <w:ind w:left="851"/>
        <w:rPr>
          <w:bCs/>
        </w:rPr>
      </w:pPr>
      <w:r w:rsidRPr="00670613">
        <w:rPr>
          <w:bCs/>
          <w:i/>
        </w:rPr>
        <w:t xml:space="preserve">The </w:t>
      </w:r>
      <w:r w:rsidRPr="007C0C48">
        <w:rPr>
          <w:bCs/>
          <w:i/>
        </w:rPr>
        <w:t>Working with Vulnerable People (Background Checking) Act 2011 (ACT)</w:t>
      </w:r>
      <w:r w:rsidR="0006094C" w:rsidRPr="00670613">
        <w:rPr>
          <w:bCs/>
          <w:i/>
        </w:rPr>
        <w:t xml:space="preserve"> </w:t>
      </w:r>
      <w:r w:rsidR="00306D7A" w:rsidRPr="007471B4">
        <w:rPr>
          <w:bCs/>
        </w:rPr>
        <w:t xml:space="preserve">provides a requirement for </w:t>
      </w:r>
      <w:r w:rsidR="0006094C" w:rsidRPr="007471B4">
        <w:rPr>
          <w:bCs/>
        </w:rPr>
        <w:t xml:space="preserve">background checking </w:t>
      </w:r>
      <w:r w:rsidR="00306D7A" w:rsidRPr="007471B4">
        <w:rPr>
          <w:bCs/>
        </w:rPr>
        <w:t xml:space="preserve">as part of a risk assessment </w:t>
      </w:r>
      <w:r w:rsidR="0006094C" w:rsidRPr="007471B4">
        <w:rPr>
          <w:bCs/>
        </w:rPr>
        <w:t>of persons seeking to work with vulnerable people, and aims to reduce the risk of harm or neglect to vulnerable people in the ACT.</w:t>
      </w:r>
    </w:p>
    <w:p w14:paraId="1E1FA651" w14:textId="77777777" w:rsidR="006A3D19" w:rsidRDefault="006A3D19" w:rsidP="006A3D19">
      <w:pPr>
        <w:numPr>
          <w:ilvl w:val="0"/>
          <w:numId w:val="0"/>
        </w:numPr>
        <w:ind w:left="851"/>
      </w:pPr>
    </w:p>
    <w:p w14:paraId="3F3C3B88" w14:textId="77777777" w:rsidR="00154EC9" w:rsidRPr="009F40BB" w:rsidRDefault="00154EC9" w:rsidP="00AA097E">
      <w:pPr>
        <w:pStyle w:val="Heading2"/>
      </w:pPr>
      <w:r w:rsidRPr="00F61771">
        <w:t>C</w:t>
      </w:r>
      <w:r w:rsidR="00670613">
        <w:t>OMPLAINTS</w:t>
      </w:r>
      <w:r w:rsidRPr="00F61771">
        <w:t xml:space="preserve"> </w:t>
      </w:r>
    </w:p>
    <w:p w14:paraId="04C49C8A" w14:textId="77777777" w:rsidR="00154EC9" w:rsidRDefault="00154EC9" w:rsidP="00670613">
      <w:pPr>
        <w:pStyle w:val="BlankLine"/>
        <w:tabs>
          <w:tab w:val="left" w:pos="851"/>
        </w:tabs>
      </w:pPr>
      <w:r>
        <w:t xml:space="preserve"> </w:t>
      </w:r>
    </w:p>
    <w:p w14:paraId="05B5FC3B" w14:textId="77777777" w:rsidR="00856708" w:rsidRPr="00826320" w:rsidRDefault="00856708" w:rsidP="00670613">
      <w:pPr>
        <w:tabs>
          <w:tab w:val="left" w:pos="851"/>
        </w:tabs>
        <w:rPr>
          <w:rFonts w:asciiTheme="minorHAnsi" w:hAnsiTheme="minorHAnsi"/>
          <w:bCs/>
        </w:rPr>
      </w:pPr>
      <w:r w:rsidRPr="00826320">
        <w:rPr>
          <w:rFonts w:asciiTheme="minorHAnsi" w:hAnsiTheme="minorHAnsi"/>
          <w:bCs/>
        </w:rPr>
        <w:t>Where there are concerns regarding the application of the Policy or the Policy itself, contact should be made</w:t>
      </w:r>
      <w:r w:rsidR="003F0B34">
        <w:rPr>
          <w:rFonts w:asciiTheme="minorHAnsi" w:hAnsiTheme="minorHAnsi"/>
          <w:bCs/>
        </w:rPr>
        <w:t xml:space="preserve"> with the Principal</w:t>
      </w:r>
    </w:p>
    <w:p w14:paraId="319A0959" w14:textId="77777777" w:rsidR="00856708" w:rsidRPr="00D80C8A" w:rsidRDefault="00856708" w:rsidP="00670613">
      <w:pPr>
        <w:numPr>
          <w:ilvl w:val="0"/>
          <w:numId w:val="0"/>
        </w:numPr>
        <w:tabs>
          <w:tab w:val="left" w:pos="851"/>
        </w:tabs>
        <w:rPr>
          <w:bCs/>
        </w:rPr>
      </w:pPr>
    </w:p>
    <w:p w14:paraId="37C8B09B" w14:textId="00BCB118" w:rsidR="00A411E5" w:rsidRPr="0062446A" w:rsidRDefault="00CE6C23" w:rsidP="00AA097E">
      <w:pPr>
        <w:pStyle w:val="Heading2"/>
      </w:pPr>
      <w:r w:rsidRPr="00CE6C23">
        <w:rPr>
          <w:highlight w:val="yellow"/>
        </w:rPr>
        <w:t xml:space="preserve">[INSERT DETAILS OF </w:t>
      </w:r>
      <w:r w:rsidR="00A411E5" w:rsidRPr="00CE6C23">
        <w:rPr>
          <w:highlight w:val="yellow"/>
        </w:rPr>
        <w:t>POLICY OWNER</w:t>
      </w:r>
      <w:r w:rsidRPr="00CE6C23">
        <w:rPr>
          <w:highlight w:val="yellow"/>
        </w:rPr>
        <w:t>]</w:t>
      </w:r>
      <w:r w:rsidR="00A411E5" w:rsidRPr="00413D20">
        <w:t xml:space="preserve"> </w:t>
      </w:r>
    </w:p>
    <w:p w14:paraId="292C0174" w14:textId="77777777" w:rsidR="00A411E5" w:rsidRDefault="00A411E5" w:rsidP="00670613">
      <w:pPr>
        <w:pStyle w:val="BlankLine"/>
        <w:tabs>
          <w:tab w:val="left" w:pos="851"/>
        </w:tabs>
      </w:pPr>
    </w:p>
    <w:p w14:paraId="18407C23" w14:textId="7D29C3BA" w:rsidR="0006094C" w:rsidRPr="00826320" w:rsidRDefault="0006094C" w:rsidP="00670613">
      <w:pPr>
        <w:tabs>
          <w:tab w:val="left" w:pos="851"/>
        </w:tabs>
        <w:rPr>
          <w:rFonts w:asciiTheme="minorHAnsi" w:hAnsiTheme="minorHAnsi"/>
          <w:bCs/>
        </w:rPr>
      </w:pPr>
      <w:r w:rsidRPr="00826320">
        <w:rPr>
          <w:rFonts w:asciiTheme="minorHAnsi" w:hAnsiTheme="minorHAnsi"/>
          <w:bCs/>
        </w:rPr>
        <w:t>For support in relation to this policy please</w:t>
      </w:r>
      <w:r w:rsidR="00772DD0">
        <w:rPr>
          <w:rFonts w:asciiTheme="minorHAnsi" w:hAnsiTheme="minorHAnsi"/>
          <w:bCs/>
        </w:rPr>
        <w:t xml:space="preserve"> contact</w:t>
      </w:r>
      <w:r w:rsidRPr="00826320">
        <w:rPr>
          <w:rFonts w:asciiTheme="minorHAnsi" w:hAnsiTheme="minorHAnsi"/>
          <w:bCs/>
        </w:rPr>
        <w:t xml:space="preserve"> </w:t>
      </w:r>
      <w:r w:rsidR="00CE6C23" w:rsidRPr="00CE6C23">
        <w:rPr>
          <w:rFonts w:asciiTheme="minorHAnsi" w:hAnsiTheme="minorHAnsi"/>
          <w:bCs/>
          <w:highlight w:val="yellow"/>
        </w:rPr>
        <w:t>[INSERT DETAILS</w:t>
      </w:r>
      <w:r w:rsidR="00CE6C23">
        <w:rPr>
          <w:rFonts w:asciiTheme="minorHAnsi" w:hAnsiTheme="minorHAnsi"/>
          <w:bCs/>
        </w:rPr>
        <w:t>].</w:t>
      </w:r>
    </w:p>
    <w:p w14:paraId="7CE6F8A4" w14:textId="77777777" w:rsidR="00207C8A" w:rsidRDefault="00207C8A" w:rsidP="00670613">
      <w:pPr>
        <w:numPr>
          <w:ilvl w:val="0"/>
          <w:numId w:val="0"/>
        </w:numPr>
        <w:tabs>
          <w:tab w:val="left" w:pos="851"/>
        </w:tabs>
        <w:ind w:left="851"/>
      </w:pPr>
    </w:p>
    <w:p w14:paraId="43DDB90B" w14:textId="77777777" w:rsidR="00460F54" w:rsidRDefault="007C0C48" w:rsidP="00AA097E">
      <w:pPr>
        <w:pStyle w:val="Heading2"/>
      </w:pPr>
      <w:r w:rsidRPr="007C0C48">
        <w:t>RELATED POLICIES</w:t>
      </w:r>
    </w:p>
    <w:p w14:paraId="2C10B270" w14:textId="30271014" w:rsidR="001509FA" w:rsidRPr="00D17A51" w:rsidRDefault="00CE6C23" w:rsidP="00670613">
      <w:pPr>
        <w:tabs>
          <w:tab w:val="left" w:pos="851"/>
        </w:tabs>
        <w:rPr>
          <w:i/>
          <w:highlight w:val="yellow"/>
        </w:rPr>
      </w:pPr>
      <w:r>
        <w:rPr>
          <w:i/>
          <w:highlight w:val="yellow"/>
        </w:rPr>
        <w:t>[INSERT DETAILS]</w:t>
      </w:r>
    </w:p>
    <w:p w14:paraId="3D567331" w14:textId="65A09493" w:rsidR="00CE6C23" w:rsidRPr="00D17A51" w:rsidRDefault="00CE6C23" w:rsidP="00CE6C23">
      <w:pPr>
        <w:tabs>
          <w:tab w:val="left" w:pos="851"/>
        </w:tabs>
        <w:rPr>
          <w:i/>
          <w:highlight w:val="yellow"/>
        </w:rPr>
      </w:pPr>
      <w:r>
        <w:rPr>
          <w:i/>
          <w:highlight w:val="yellow"/>
        </w:rPr>
        <w:t>[INSERT</w:t>
      </w:r>
      <w:r>
        <w:rPr>
          <w:i/>
          <w:highlight w:val="yellow"/>
        </w:rPr>
        <w:t xml:space="preserve"> DETAILS</w:t>
      </w:r>
      <w:r>
        <w:rPr>
          <w:i/>
          <w:highlight w:val="yellow"/>
        </w:rPr>
        <w:t>]</w:t>
      </w:r>
    </w:p>
    <w:p w14:paraId="388DFE69" w14:textId="5C70A5EA" w:rsidR="00CE6C23" w:rsidRPr="00D17A51" w:rsidRDefault="00CE6C23" w:rsidP="00CE6C23">
      <w:pPr>
        <w:tabs>
          <w:tab w:val="left" w:pos="851"/>
        </w:tabs>
        <w:rPr>
          <w:i/>
          <w:highlight w:val="yellow"/>
        </w:rPr>
      </w:pPr>
      <w:r>
        <w:rPr>
          <w:i/>
          <w:highlight w:val="yellow"/>
        </w:rPr>
        <w:t>[INSERT</w:t>
      </w:r>
      <w:r>
        <w:rPr>
          <w:i/>
          <w:highlight w:val="yellow"/>
        </w:rPr>
        <w:t xml:space="preserve"> DETAILS</w:t>
      </w:r>
      <w:r>
        <w:rPr>
          <w:i/>
          <w:highlight w:val="yellow"/>
        </w:rPr>
        <w:t>]</w:t>
      </w:r>
    </w:p>
    <w:p w14:paraId="6A9FED4A" w14:textId="77777777" w:rsidR="00826320" w:rsidRDefault="00826320" w:rsidP="00AA097E">
      <w:pPr>
        <w:pStyle w:val="Heading2"/>
      </w:pPr>
    </w:p>
    <w:p w14:paraId="145F1F9B" w14:textId="77777777" w:rsidR="007C0C48" w:rsidRDefault="007C0C48" w:rsidP="005D04A1">
      <w:pPr>
        <w:numPr>
          <w:ilvl w:val="0"/>
          <w:numId w:val="0"/>
        </w:numPr>
        <w:rPr>
          <w:i/>
          <w:color w:val="FF0000"/>
        </w:rPr>
      </w:pPr>
    </w:p>
    <w:p w14:paraId="204C2A1E" w14:textId="77777777" w:rsidR="00D17A51" w:rsidRPr="00D17A51" w:rsidRDefault="00D17A51" w:rsidP="005D04A1">
      <w:pPr>
        <w:numPr>
          <w:ilvl w:val="0"/>
          <w:numId w:val="0"/>
        </w:numPr>
        <w:rPr>
          <w:i/>
        </w:rPr>
      </w:pPr>
      <w:r w:rsidRPr="00D17A51">
        <w:rPr>
          <w:i/>
        </w:rPr>
        <w:t>This policy has been adapted from the ACT Public School Food and Drink Policy</w:t>
      </w:r>
      <w:r>
        <w:rPr>
          <w:i/>
        </w:rPr>
        <w:t xml:space="preserve"> (2015</w:t>
      </w:r>
      <w:bookmarkStart w:id="1" w:name="_GoBack"/>
      <w:bookmarkEnd w:id="1"/>
      <w:r>
        <w:rPr>
          <w:i/>
        </w:rPr>
        <w:t>)</w:t>
      </w:r>
      <w:r w:rsidRPr="00D17A51">
        <w:rPr>
          <w:i/>
        </w:rPr>
        <w:t>, with permission from the ACT Education Directorate.</w:t>
      </w:r>
    </w:p>
    <w:sectPr w:rsidR="00D17A51" w:rsidRPr="00D17A51" w:rsidSect="00DD6BC9">
      <w:headerReference w:type="default" r:id="rId11"/>
      <w:footerReference w:type="default" r:id="rId12"/>
      <w:pgSz w:w="11906" w:h="16838"/>
      <w:pgMar w:top="1440" w:right="1440" w:bottom="1440" w:left="144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772DA" w14:textId="77777777" w:rsidR="004942BA" w:rsidRDefault="004942BA" w:rsidP="00561673">
      <w:r>
        <w:separator/>
      </w:r>
    </w:p>
  </w:endnote>
  <w:endnote w:type="continuationSeparator" w:id="0">
    <w:p w14:paraId="77D7DCD5" w14:textId="77777777" w:rsidR="004942BA" w:rsidRDefault="004942BA" w:rsidP="0056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Y Gothic Cond Demi">
    <w:altName w:val="Arial Narrow"/>
    <w:charset w:val="00"/>
    <w:family w:val="auto"/>
    <w:pitch w:val="variable"/>
    <w:sig w:usb0="00000001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42E46" w14:textId="77777777" w:rsidR="004942BA" w:rsidRDefault="004942BA" w:rsidP="009718BD">
    <w:pPr>
      <w:pStyle w:val="Footer"/>
      <w:numPr>
        <w:ilvl w:val="0"/>
        <w:numId w:val="0"/>
      </w:numPr>
      <w:ind w:left="851" w:hanging="851"/>
      <w:jc w:val="right"/>
      <w:rPr>
        <w:sz w:val="20"/>
      </w:rPr>
    </w:pPr>
    <w:r w:rsidRPr="009718BD">
      <w:rPr>
        <w:sz w:val="20"/>
      </w:rPr>
      <w:t xml:space="preserve"> </w:t>
    </w:r>
  </w:p>
  <w:p w14:paraId="530027F1" w14:textId="77777777" w:rsidR="004942BA" w:rsidRDefault="004942BA" w:rsidP="00561673">
    <w:pPr>
      <w:pStyle w:val="Footer"/>
      <w:numPr>
        <w:ilvl w:val="0"/>
        <w:numId w:val="0"/>
      </w:numPr>
      <w:ind w:left="851" w:hanging="851"/>
    </w:pPr>
    <w:r w:rsidRPr="00A101D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D9A95" w14:textId="77777777" w:rsidR="004942BA" w:rsidRDefault="004942BA" w:rsidP="00561673">
      <w:r>
        <w:separator/>
      </w:r>
    </w:p>
  </w:footnote>
  <w:footnote w:type="continuationSeparator" w:id="0">
    <w:p w14:paraId="5A222D10" w14:textId="77777777" w:rsidR="004942BA" w:rsidRDefault="004942BA" w:rsidP="0056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D22C2" w14:textId="77777777" w:rsidR="004942BA" w:rsidRDefault="004942BA">
    <w:pPr>
      <w:pStyle w:val="Header"/>
      <w:numPr>
        <w:ilvl w:val="0"/>
        <w:numId w:val="0"/>
      </w:numPr>
      <w:ind w:left="851" w:hanging="851"/>
      <w:rPr>
        <w:sz w:val="2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4FAF"/>
    <w:multiLevelType w:val="hybridMultilevel"/>
    <w:tmpl w:val="84FE9BF0"/>
    <w:lvl w:ilvl="0" w:tplc="302A2B06">
      <w:start w:val="1"/>
      <w:numFmt w:val="bullet"/>
      <w:lvlText w:val=""/>
      <w:legacy w:legacy="1" w:legacySpace="0" w:legacyIndent="360"/>
      <w:lvlJc w:val="left"/>
      <w:pPr>
        <w:ind w:left="7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67B433A"/>
    <w:multiLevelType w:val="hybridMultilevel"/>
    <w:tmpl w:val="8AC42CF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BF7E28"/>
    <w:multiLevelType w:val="multilevel"/>
    <w:tmpl w:val="2040A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0547C2"/>
    <w:multiLevelType w:val="hybridMultilevel"/>
    <w:tmpl w:val="67802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05655"/>
    <w:multiLevelType w:val="multilevel"/>
    <w:tmpl w:val="9C46B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D48601C"/>
    <w:multiLevelType w:val="multilevel"/>
    <w:tmpl w:val="CA908EC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color w:val="auto"/>
      </w:rPr>
    </w:lvl>
    <w:lvl w:ilvl="1">
      <w:start w:val="1"/>
      <w:numFmt w:val="decimal"/>
      <w:pStyle w:val="Normal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60F1714"/>
    <w:multiLevelType w:val="multilevel"/>
    <w:tmpl w:val="1E08A4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B44379"/>
    <w:multiLevelType w:val="hybridMultilevel"/>
    <w:tmpl w:val="7C10DC80"/>
    <w:lvl w:ilvl="0" w:tplc="0A5A88C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74A03"/>
    <w:multiLevelType w:val="hybridMultilevel"/>
    <w:tmpl w:val="1528F54C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82C2F14"/>
    <w:multiLevelType w:val="hybridMultilevel"/>
    <w:tmpl w:val="C28AA83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E6C7096"/>
    <w:multiLevelType w:val="multilevel"/>
    <w:tmpl w:val="F3CC9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0B645D7"/>
    <w:multiLevelType w:val="hybridMultilevel"/>
    <w:tmpl w:val="479EF94E"/>
    <w:lvl w:ilvl="0" w:tplc="C1AC9684">
      <w:start w:val="1"/>
      <w:numFmt w:val="bullet"/>
      <w:pStyle w:val="ListParagraph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73AD7FC1"/>
    <w:multiLevelType w:val="multilevel"/>
    <w:tmpl w:val="B978B8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5"/>
  </w:num>
  <w:num w:numId="7">
    <w:abstractNumId w:val="5"/>
    <w:lvlOverride w:ilvl="0">
      <w:startOverride w:val="3"/>
    </w:lvlOverride>
    <w:lvlOverride w:ilvl="1">
      <w:startOverride w:val="3"/>
    </w:lvlOverride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10"/>
  </w:num>
  <w:num w:numId="15">
    <w:abstractNumId w:val="5"/>
  </w:num>
  <w:num w:numId="16">
    <w:abstractNumId w:val="12"/>
  </w:num>
  <w:num w:numId="1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26"/>
    <w:rsid w:val="0000788B"/>
    <w:rsid w:val="00027BAC"/>
    <w:rsid w:val="00027CDF"/>
    <w:rsid w:val="00042FED"/>
    <w:rsid w:val="000464E0"/>
    <w:rsid w:val="00047D6A"/>
    <w:rsid w:val="000549F5"/>
    <w:rsid w:val="000578BB"/>
    <w:rsid w:val="00057D1F"/>
    <w:rsid w:val="0006094C"/>
    <w:rsid w:val="000641F6"/>
    <w:rsid w:val="00065FE1"/>
    <w:rsid w:val="0007736E"/>
    <w:rsid w:val="00081F11"/>
    <w:rsid w:val="00091CE5"/>
    <w:rsid w:val="00091E30"/>
    <w:rsid w:val="00092AF0"/>
    <w:rsid w:val="00095E54"/>
    <w:rsid w:val="000A116B"/>
    <w:rsid w:val="000A20F3"/>
    <w:rsid w:val="000A2E21"/>
    <w:rsid w:val="000A4245"/>
    <w:rsid w:val="000B1480"/>
    <w:rsid w:val="000B35AE"/>
    <w:rsid w:val="000C1B93"/>
    <w:rsid w:val="000C3842"/>
    <w:rsid w:val="000C707D"/>
    <w:rsid w:val="000D0C8D"/>
    <w:rsid w:val="000D2F80"/>
    <w:rsid w:val="000D3B3D"/>
    <w:rsid w:val="000D58B9"/>
    <w:rsid w:val="000D667F"/>
    <w:rsid w:val="000F51C6"/>
    <w:rsid w:val="000F7622"/>
    <w:rsid w:val="00101E40"/>
    <w:rsid w:val="001028DB"/>
    <w:rsid w:val="00103C01"/>
    <w:rsid w:val="001043A0"/>
    <w:rsid w:val="0010662F"/>
    <w:rsid w:val="00113ABC"/>
    <w:rsid w:val="00117BA9"/>
    <w:rsid w:val="0012187B"/>
    <w:rsid w:val="00123E77"/>
    <w:rsid w:val="001271CE"/>
    <w:rsid w:val="00133D78"/>
    <w:rsid w:val="001362EE"/>
    <w:rsid w:val="0013647E"/>
    <w:rsid w:val="001410E5"/>
    <w:rsid w:val="00145671"/>
    <w:rsid w:val="001509FA"/>
    <w:rsid w:val="00151FBC"/>
    <w:rsid w:val="00152AE1"/>
    <w:rsid w:val="00154EC9"/>
    <w:rsid w:val="0015507D"/>
    <w:rsid w:val="00155598"/>
    <w:rsid w:val="0015673B"/>
    <w:rsid w:val="001649D5"/>
    <w:rsid w:val="001650DC"/>
    <w:rsid w:val="00167762"/>
    <w:rsid w:val="00172EF4"/>
    <w:rsid w:val="001751E8"/>
    <w:rsid w:val="00187860"/>
    <w:rsid w:val="00191AC7"/>
    <w:rsid w:val="00192BD0"/>
    <w:rsid w:val="00196D0A"/>
    <w:rsid w:val="0019760C"/>
    <w:rsid w:val="001A18E4"/>
    <w:rsid w:val="001A2ED8"/>
    <w:rsid w:val="001A3543"/>
    <w:rsid w:val="001B1D0B"/>
    <w:rsid w:val="001B2F38"/>
    <w:rsid w:val="001B5A09"/>
    <w:rsid w:val="001C7C61"/>
    <w:rsid w:val="001D1BDF"/>
    <w:rsid w:val="001D421E"/>
    <w:rsid w:val="001D70E7"/>
    <w:rsid w:val="001E0535"/>
    <w:rsid w:val="001E55E0"/>
    <w:rsid w:val="001F144F"/>
    <w:rsid w:val="001F6ED0"/>
    <w:rsid w:val="001F7541"/>
    <w:rsid w:val="00200C07"/>
    <w:rsid w:val="00207C8A"/>
    <w:rsid w:val="00207E1A"/>
    <w:rsid w:val="00212628"/>
    <w:rsid w:val="002140D3"/>
    <w:rsid w:val="002173C0"/>
    <w:rsid w:val="00226D92"/>
    <w:rsid w:val="002337F5"/>
    <w:rsid w:val="002339BB"/>
    <w:rsid w:val="002348AA"/>
    <w:rsid w:val="002367CC"/>
    <w:rsid w:val="00236AB9"/>
    <w:rsid w:val="0024048C"/>
    <w:rsid w:val="00243C37"/>
    <w:rsid w:val="00252BBA"/>
    <w:rsid w:val="00252F18"/>
    <w:rsid w:val="00265206"/>
    <w:rsid w:val="002723B1"/>
    <w:rsid w:val="00275062"/>
    <w:rsid w:val="00275B93"/>
    <w:rsid w:val="00277936"/>
    <w:rsid w:val="002807BA"/>
    <w:rsid w:val="00285E6E"/>
    <w:rsid w:val="002868B3"/>
    <w:rsid w:val="0029049D"/>
    <w:rsid w:val="002943E2"/>
    <w:rsid w:val="002A50A6"/>
    <w:rsid w:val="002A53AA"/>
    <w:rsid w:val="002A5A21"/>
    <w:rsid w:val="002A6E5F"/>
    <w:rsid w:val="002A75F9"/>
    <w:rsid w:val="002B3054"/>
    <w:rsid w:val="002B70C5"/>
    <w:rsid w:val="002C5570"/>
    <w:rsid w:val="002D0F4D"/>
    <w:rsid w:val="002D228D"/>
    <w:rsid w:val="002D583B"/>
    <w:rsid w:val="002E6C92"/>
    <w:rsid w:val="002E77A9"/>
    <w:rsid w:val="002F2D56"/>
    <w:rsid w:val="002F3D65"/>
    <w:rsid w:val="002F445A"/>
    <w:rsid w:val="0030039E"/>
    <w:rsid w:val="00303548"/>
    <w:rsid w:val="003046EF"/>
    <w:rsid w:val="00306D7A"/>
    <w:rsid w:val="00311D0A"/>
    <w:rsid w:val="00314C8A"/>
    <w:rsid w:val="00315038"/>
    <w:rsid w:val="003166A0"/>
    <w:rsid w:val="00323346"/>
    <w:rsid w:val="0032432A"/>
    <w:rsid w:val="003340B7"/>
    <w:rsid w:val="00340871"/>
    <w:rsid w:val="00341EA7"/>
    <w:rsid w:val="00342E23"/>
    <w:rsid w:val="00343CA4"/>
    <w:rsid w:val="00355AF8"/>
    <w:rsid w:val="00357E90"/>
    <w:rsid w:val="00381DB9"/>
    <w:rsid w:val="0038764B"/>
    <w:rsid w:val="003A2690"/>
    <w:rsid w:val="003A7D4B"/>
    <w:rsid w:val="003B7E44"/>
    <w:rsid w:val="003C357A"/>
    <w:rsid w:val="003C430D"/>
    <w:rsid w:val="003D5C06"/>
    <w:rsid w:val="003E2817"/>
    <w:rsid w:val="003E2D2A"/>
    <w:rsid w:val="003E7BC6"/>
    <w:rsid w:val="003F0B34"/>
    <w:rsid w:val="003F167B"/>
    <w:rsid w:val="003F1D70"/>
    <w:rsid w:val="003F1ED9"/>
    <w:rsid w:val="003F60E9"/>
    <w:rsid w:val="00400F24"/>
    <w:rsid w:val="00402D16"/>
    <w:rsid w:val="00403893"/>
    <w:rsid w:val="00403C94"/>
    <w:rsid w:val="00413D20"/>
    <w:rsid w:val="00435F03"/>
    <w:rsid w:val="004368F0"/>
    <w:rsid w:val="00443788"/>
    <w:rsid w:val="00445CEB"/>
    <w:rsid w:val="0045242D"/>
    <w:rsid w:val="00460F54"/>
    <w:rsid w:val="00461B2E"/>
    <w:rsid w:val="00467F13"/>
    <w:rsid w:val="00472979"/>
    <w:rsid w:val="00473D8A"/>
    <w:rsid w:val="004765C5"/>
    <w:rsid w:val="0048667D"/>
    <w:rsid w:val="004942BA"/>
    <w:rsid w:val="004A0B39"/>
    <w:rsid w:val="004A0F81"/>
    <w:rsid w:val="004A37DB"/>
    <w:rsid w:val="004B1736"/>
    <w:rsid w:val="004B3255"/>
    <w:rsid w:val="004C5DF8"/>
    <w:rsid w:val="004E3335"/>
    <w:rsid w:val="004F3EDB"/>
    <w:rsid w:val="004F515B"/>
    <w:rsid w:val="00513131"/>
    <w:rsid w:val="00522E4C"/>
    <w:rsid w:val="00525FEB"/>
    <w:rsid w:val="0053055D"/>
    <w:rsid w:val="00533622"/>
    <w:rsid w:val="0053388A"/>
    <w:rsid w:val="00535D1F"/>
    <w:rsid w:val="00546686"/>
    <w:rsid w:val="005478A4"/>
    <w:rsid w:val="005478DC"/>
    <w:rsid w:val="00555423"/>
    <w:rsid w:val="00561673"/>
    <w:rsid w:val="00566A61"/>
    <w:rsid w:val="00576537"/>
    <w:rsid w:val="0058137F"/>
    <w:rsid w:val="00585CAE"/>
    <w:rsid w:val="00590246"/>
    <w:rsid w:val="00590C1D"/>
    <w:rsid w:val="005B143C"/>
    <w:rsid w:val="005B17A2"/>
    <w:rsid w:val="005B43C9"/>
    <w:rsid w:val="005C659B"/>
    <w:rsid w:val="005D04A1"/>
    <w:rsid w:val="005E0042"/>
    <w:rsid w:val="005F563D"/>
    <w:rsid w:val="0060349D"/>
    <w:rsid w:val="00604B21"/>
    <w:rsid w:val="00605180"/>
    <w:rsid w:val="00611E80"/>
    <w:rsid w:val="0061587A"/>
    <w:rsid w:val="0062293E"/>
    <w:rsid w:val="0062446A"/>
    <w:rsid w:val="00627C87"/>
    <w:rsid w:val="006360C8"/>
    <w:rsid w:val="00642B0B"/>
    <w:rsid w:val="00643739"/>
    <w:rsid w:val="00645105"/>
    <w:rsid w:val="00652AE4"/>
    <w:rsid w:val="00653234"/>
    <w:rsid w:val="0065628A"/>
    <w:rsid w:val="00657546"/>
    <w:rsid w:val="00660FB2"/>
    <w:rsid w:val="0066129F"/>
    <w:rsid w:val="00665328"/>
    <w:rsid w:val="00665EEA"/>
    <w:rsid w:val="00670613"/>
    <w:rsid w:val="00671715"/>
    <w:rsid w:val="00671D3A"/>
    <w:rsid w:val="006724AD"/>
    <w:rsid w:val="006747FA"/>
    <w:rsid w:val="0067675C"/>
    <w:rsid w:val="00680271"/>
    <w:rsid w:val="00682AAC"/>
    <w:rsid w:val="006926B5"/>
    <w:rsid w:val="006948C7"/>
    <w:rsid w:val="00696E39"/>
    <w:rsid w:val="006A3D19"/>
    <w:rsid w:val="006A49CB"/>
    <w:rsid w:val="006A4AA9"/>
    <w:rsid w:val="006A6EED"/>
    <w:rsid w:val="006A79A3"/>
    <w:rsid w:val="006B0F15"/>
    <w:rsid w:val="006B4EC3"/>
    <w:rsid w:val="006B5772"/>
    <w:rsid w:val="006C5A7A"/>
    <w:rsid w:val="006C7B27"/>
    <w:rsid w:val="006D3E0F"/>
    <w:rsid w:val="006D5542"/>
    <w:rsid w:val="006E240C"/>
    <w:rsid w:val="006E68BC"/>
    <w:rsid w:val="006F1B85"/>
    <w:rsid w:val="006F64CA"/>
    <w:rsid w:val="006F6B04"/>
    <w:rsid w:val="00706BFA"/>
    <w:rsid w:val="00711D4F"/>
    <w:rsid w:val="007123E9"/>
    <w:rsid w:val="0071378B"/>
    <w:rsid w:val="00715FDD"/>
    <w:rsid w:val="007258BB"/>
    <w:rsid w:val="00734A4D"/>
    <w:rsid w:val="00741273"/>
    <w:rsid w:val="007471B4"/>
    <w:rsid w:val="00763305"/>
    <w:rsid w:val="00763778"/>
    <w:rsid w:val="0076543F"/>
    <w:rsid w:val="00766BB8"/>
    <w:rsid w:val="00767A2C"/>
    <w:rsid w:val="00772DD0"/>
    <w:rsid w:val="00773577"/>
    <w:rsid w:val="00773761"/>
    <w:rsid w:val="00786276"/>
    <w:rsid w:val="007A060B"/>
    <w:rsid w:val="007A56F9"/>
    <w:rsid w:val="007A585F"/>
    <w:rsid w:val="007A6041"/>
    <w:rsid w:val="007B1602"/>
    <w:rsid w:val="007B440F"/>
    <w:rsid w:val="007C0C48"/>
    <w:rsid w:val="007C48DB"/>
    <w:rsid w:val="007C5AE3"/>
    <w:rsid w:val="007C5CFE"/>
    <w:rsid w:val="007D3073"/>
    <w:rsid w:val="007D76D8"/>
    <w:rsid w:val="007E1F3F"/>
    <w:rsid w:val="007E2046"/>
    <w:rsid w:val="007E2461"/>
    <w:rsid w:val="007E4FAA"/>
    <w:rsid w:val="007E68CC"/>
    <w:rsid w:val="00814D0F"/>
    <w:rsid w:val="00816879"/>
    <w:rsid w:val="008169F5"/>
    <w:rsid w:val="00824649"/>
    <w:rsid w:val="00826320"/>
    <w:rsid w:val="00830498"/>
    <w:rsid w:val="00830527"/>
    <w:rsid w:val="0083213A"/>
    <w:rsid w:val="008416D5"/>
    <w:rsid w:val="00842A52"/>
    <w:rsid w:val="00843F0C"/>
    <w:rsid w:val="008545E5"/>
    <w:rsid w:val="0085561F"/>
    <w:rsid w:val="00855E90"/>
    <w:rsid w:val="00856708"/>
    <w:rsid w:val="008661F7"/>
    <w:rsid w:val="00866F46"/>
    <w:rsid w:val="00872786"/>
    <w:rsid w:val="0087437E"/>
    <w:rsid w:val="008750C8"/>
    <w:rsid w:val="00881E1F"/>
    <w:rsid w:val="00882C99"/>
    <w:rsid w:val="00884FC5"/>
    <w:rsid w:val="008879C9"/>
    <w:rsid w:val="008A4C65"/>
    <w:rsid w:val="008B2992"/>
    <w:rsid w:val="008B7255"/>
    <w:rsid w:val="008B7D46"/>
    <w:rsid w:val="008C0026"/>
    <w:rsid w:val="008C62D2"/>
    <w:rsid w:val="008D072F"/>
    <w:rsid w:val="008D50D3"/>
    <w:rsid w:val="008D5410"/>
    <w:rsid w:val="008E0ED1"/>
    <w:rsid w:val="008E2AA8"/>
    <w:rsid w:val="008E5D06"/>
    <w:rsid w:val="008F0638"/>
    <w:rsid w:val="008F14E3"/>
    <w:rsid w:val="008F4B33"/>
    <w:rsid w:val="00902392"/>
    <w:rsid w:val="00904B16"/>
    <w:rsid w:val="00904B88"/>
    <w:rsid w:val="00921929"/>
    <w:rsid w:val="009257F2"/>
    <w:rsid w:val="009261F6"/>
    <w:rsid w:val="00926F40"/>
    <w:rsid w:val="0093076B"/>
    <w:rsid w:val="00937836"/>
    <w:rsid w:val="00953191"/>
    <w:rsid w:val="00961A34"/>
    <w:rsid w:val="009653E3"/>
    <w:rsid w:val="00967AB4"/>
    <w:rsid w:val="00970560"/>
    <w:rsid w:val="009718BD"/>
    <w:rsid w:val="00971F12"/>
    <w:rsid w:val="00972E55"/>
    <w:rsid w:val="00974D79"/>
    <w:rsid w:val="00983FE4"/>
    <w:rsid w:val="009843F6"/>
    <w:rsid w:val="00990B41"/>
    <w:rsid w:val="00997957"/>
    <w:rsid w:val="009A1694"/>
    <w:rsid w:val="009A7AB1"/>
    <w:rsid w:val="009B0AC2"/>
    <w:rsid w:val="009B0CA5"/>
    <w:rsid w:val="009C036F"/>
    <w:rsid w:val="009C0AD3"/>
    <w:rsid w:val="009C1C62"/>
    <w:rsid w:val="009C430C"/>
    <w:rsid w:val="009E669D"/>
    <w:rsid w:val="009F0914"/>
    <w:rsid w:val="009F22E5"/>
    <w:rsid w:val="009F5270"/>
    <w:rsid w:val="009F68C0"/>
    <w:rsid w:val="009F70A0"/>
    <w:rsid w:val="00A00DB7"/>
    <w:rsid w:val="00A01EBD"/>
    <w:rsid w:val="00A03376"/>
    <w:rsid w:val="00A0349C"/>
    <w:rsid w:val="00A101D9"/>
    <w:rsid w:val="00A12039"/>
    <w:rsid w:val="00A135D2"/>
    <w:rsid w:val="00A25B9E"/>
    <w:rsid w:val="00A26E21"/>
    <w:rsid w:val="00A354D1"/>
    <w:rsid w:val="00A35A31"/>
    <w:rsid w:val="00A363F4"/>
    <w:rsid w:val="00A37657"/>
    <w:rsid w:val="00A411E5"/>
    <w:rsid w:val="00A41B97"/>
    <w:rsid w:val="00A42484"/>
    <w:rsid w:val="00A42D91"/>
    <w:rsid w:val="00A4367A"/>
    <w:rsid w:val="00A46E58"/>
    <w:rsid w:val="00A52CA6"/>
    <w:rsid w:val="00A53212"/>
    <w:rsid w:val="00A60E4B"/>
    <w:rsid w:val="00A74394"/>
    <w:rsid w:val="00A7585A"/>
    <w:rsid w:val="00A803AF"/>
    <w:rsid w:val="00A858D9"/>
    <w:rsid w:val="00A87A39"/>
    <w:rsid w:val="00A91C27"/>
    <w:rsid w:val="00AA097E"/>
    <w:rsid w:val="00AA0E51"/>
    <w:rsid w:val="00AA2D8B"/>
    <w:rsid w:val="00AA507B"/>
    <w:rsid w:val="00AA6684"/>
    <w:rsid w:val="00AA7A2D"/>
    <w:rsid w:val="00AB5713"/>
    <w:rsid w:val="00AC2B0A"/>
    <w:rsid w:val="00AC40E1"/>
    <w:rsid w:val="00AC46EA"/>
    <w:rsid w:val="00AD6327"/>
    <w:rsid w:val="00AD7C21"/>
    <w:rsid w:val="00AD7FB7"/>
    <w:rsid w:val="00AE1253"/>
    <w:rsid w:val="00AE1CCD"/>
    <w:rsid w:val="00AE4A32"/>
    <w:rsid w:val="00B02EB6"/>
    <w:rsid w:val="00B049BB"/>
    <w:rsid w:val="00B11B7F"/>
    <w:rsid w:val="00B13E8D"/>
    <w:rsid w:val="00B1455B"/>
    <w:rsid w:val="00B3356B"/>
    <w:rsid w:val="00B45600"/>
    <w:rsid w:val="00B47230"/>
    <w:rsid w:val="00B50E36"/>
    <w:rsid w:val="00B519F8"/>
    <w:rsid w:val="00B53DE1"/>
    <w:rsid w:val="00B6240B"/>
    <w:rsid w:val="00B72DCD"/>
    <w:rsid w:val="00B83EFC"/>
    <w:rsid w:val="00B85E56"/>
    <w:rsid w:val="00B87C82"/>
    <w:rsid w:val="00B9110A"/>
    <w:rsid w:val="00B935A6"/>
    <w:rsid w:val="00B95082"/>
    <w:rsid w:val="00BA350B"/>
    <w:rsid w:val="00BA3A80"/>
    <w:rsid w:val="00BB286F"/>
    <w:rsid w:val="00BB3302"/>
    <w:rsid w:val="00BB38C6"/>
    <w:rsid w:val="00BB48A3"/>
    <w:rsid w:val="00BB585C"/>
    <w:rsid w:val="00BB6ECE"/>
    <w:rsid w:val="00BB7FC0"/>
    <w:rsid w:val="00BC5C02"/>
    <w:rsid w:val="00BD166D"/>
    <w:rsid w:val="00BD1AB0"/>
    <w:rsid w:val="00BE05B4"/>
    <w:rsid w:val="00BE0DD5"/>
    <w:rsid w:val="00BE79C2"/>
    <w:rsid w:val="00BF3C18"/>
    <w:rsid w:val="00C01E3A"/>
    <w:rsid w:val="00C02ED8"/>
    <w:rsid w:val="00C04F7F"/>
    <w:rsid w:val="00C075F7"/>
    <w:rsid w:val="00C16B26"/>
    <w:rsid w:val="00C16E74"/>
    <w:rsid w:val="00C17328"/>
    <w:rsid w:val="00C174BA"/>
    <w:rsid w:val="00C202DA"/>
    <w:rsid w:val="00C22A09"/>
    <w:rsid w:val="00C23E73"/>
    <w:rsid w:val="00C31563"/>
    <w:rsid w:val="00C354F3"/>
    <w:rsid w:val="00C35A35"/>
    <w:rsid w:val="00C36521"/>
    <w:rsid w:val="00C4126E"/>
    <w:rsid w:val="00C5026F"/>
    <w:rsid w:val="00C60B81"/>
    <w:rsid w:val="00C76EFC"/>
    <w:rsid w:val="00C770A4"/>
    <w:rsid w:val="00C81441"/>
    <w:rsid w:val="00C844B3"/>
    <w:rsid w:val="00C9170E"/>
    <w:rsid w:val="00C92CF7"/>
    <w:rsid w:val="00C92D53"/>
    <w:rsid w:val="00C92EFD"/>
    <w:rsid w:val="00CA363F"/>
    <w:rsid w:val="00CA441C"/>
    <w:rsid w:val="00CA4A69"/>
    <w:rsid w:val="00CA7B8D"/>
    <w:rsid w:val="00CB6E7C"/>
    <w:rsid w:val="00CC1493"/>
    <w:rsid w:val="00CC250E"/>
    <w:rsid w:val="00CC5E03"/>
    <w:rsid w:val="00CC6F16"/>
    <w:rsid w:val="00CD007D"/>
    <w:rsid w:val="00CD039C"/>
    <w:rsid w:val="00CD3657"/>
    <w:rsid w:val="00CD5A0E"/>
    <w:rsid w:val="00CE6C23"/>
    <w:rsid w:val="00CE6CF1"/>
    <w:rsid w:val="00CE7737"/>
    <w:rsid w:val="00CF0E47"/>
    <w:rsid w:val="00CF1847"/>
    <w:rsid w:val="00D0084B"/>
    <w:rsid w:val="00D01896"/>
    <w:rsid w:val="00D17A51"/>
    <w:rsid w:val="00D26AC3"/>
    <w:rsid w:val="00D33790"/>
    <w:rsid w:val="00D356EB"/>
    <w:rsid w:val="00D41217"/>
    <w:rsid w:val="00D418EF"/>
    <w:rsid w:val="00D439C5"/>
    <w:rsid w:val="00D5070E"/>
    <w:rsid w:val="00D51720"/>
    <w:rsid w:val="00D51FD6"/>
    <w:rsid w:val="00D555BC"/>
    <w:rsid w:val="00D61286"/>
    <w:rsid w:val="00D63497"/>
    <w:rsid w:val="00D642E3"/>
    <w:rsid w:val="00D6508C"/>
    <w:rsid w:val="00D70181"/>
    <w:rsid w:val="00D710AC"/>
    <w:rsid w:val="00D75041"/>
    <w:rsid w:val="00D75E90"/>
    <w:rsid w:val="00D774D4"/>
    <w:rsid w:val="00D85300"/>
    <w:rsid w:val="00D879FF"/>
    <w:rsid w:val="00D93084"/>
    <w:rsid w:val="00D94705"/>
    <w:rsid w:val="00D97B7A"/>
    <w:rsid w:val="00D97C46"/>
    <w:rsid w:val="00DA2773"/>
    <w:rsid w:val="00DA6139"/>
    <w:rsid w:val="00DB2466"/>
    <w:rsid w:val="00DB381D"/>
    <w:rsid w:val="00DB58DA"/>
    <w:rsid w:val="00DB6D57"/>
    <w:rsid w:val="00DC51E8"/>
    <w:rsid w:val="00DC757D"/>
    <w:rsid w:val="00DD2BDE"/>
    <w:rsid w:val="00DD4512"/>
    <w:rsid w:val="00DD6BC9"/>
    <w:rsid w:val="00DE1A03"/>
    <w:rsid w:val="00DE3037"/>
    <w:rsid w:val="00DF32CE"/>
    <w:rsid w:val="00DF5E6A"/>
    <w:rsid w:val="00E02A8C"/>
    <w:rsid w:val="00E03004"/>
    <w:rsid w:val="00E05558"/>
    <w:rsid w:val="00E062C0"/>
    <w:rsid w:val="00E12CC8"/>
    <w:rsid w:val="00E20031"/>
    <w:rsid w:val="00E20361"/>
    <w:rsid w:val="00E259AF"/>
    <w:rsid w:val="00E26282"/>
    <w:rsid w:val="00E422C7"/>
    <w:rsid w:val="00E437E5"/>
    <w:rsid w:val="00E51880"/>
    <w:rsid w:val="00E51998"/>
    <w:rsid w:val="00E53C2E"/>
    <w:rsid w:val="00E54E71"/>
    <w:rsid w:val="00E56C3C"/>
    <w:rsid w:val="00E56D62"/>
    <w:rsid w:val="00E6085D"/>
    <w:rsid w:val="00E60DAA"/>
    <w:rsid w:val="00E61C22"/>
    <w:rsid w:val="00E62276"/>
    <w:rsid w:val="00E6763E"/>
    <w:rsid w:val="00E704A5"/>
    <w:rsid w:val="00E70D52"/>
    <w:rsid w:val="00E730C1"/>
    <w:rsid w:val="00E73F44"/>
    <w:rsid w:val="00E75F20"/>
    <w:rsid w:val="00E7750C"/>
    <w:rsid w:val="00E8047A"/>
    <w:rsid w:val="00E93E1D"/>
    <w:rsid w:val="00E955C9"/>
    <w:rsid w:val="00E97D93"/>
    <w:rsid w:val="00EA74B5"/>
    <w:rsid w:val="00EB3428"/>
    <w:rsid w:val="00EB6449"/>
    <w:rsid w:val="00EB6D6F"/>
    <w:rsid w:val="00EC7D3F"/>
    <w:rsid w:val="00ED67DB"/>
    <w:rsid w:val="00ED6F60"/>
    <w:rsid w:val="00EE15A9"/>
    <w:rsid w:val="00EF30AA"/>
    <w:rsid w:val="00EF5766"/>
    <w:rsid w:val="00EF66B1"/>
    <w:rsid w:val="00F12512"/>
    <w:rsid w:val="00F17E29"/>
    <w:rsid w:val="00F31176"/>
    <w:rsid w:val="00F31FD7"/>
    <w:rsid w:val="00F32C82"/>
    <w:rsid w:val="00F52811"/>
    <w:rsid w:val="00F5384A"/>
    <w:rsid w:val="00F53DA6"/>
    <w:rsid w:val="00F54599"/>
    <w:rsid w:val="00F549C3"/>
    <w:rsid w:val="00F61771"/>
    <w:rsid w:val="00F63181"/>
    <w:rsid w:val="00F66942"/>
    <w:rsid w:val="00F82DE7"/>
    <w:rsid w:val="00F9316B"/>
    <w:rsid w:val="00F945D6"/>
    <w:rsid w:val="00F95653"/>
    <w:rsid w:val="00F9795B"/>
    <w:rsid w:val="00FA2B29"/>
    <w:rsid w:val="00FB6CD4"/>
    <w:rsid w:val="00FB72FF"/>
    <w:rsid w:val="00FC1B6E"/>
    <w:rsid w:val="00FC4C00"/>
    <w:rsid w:val="00FC7A91"/>
    <w:rsid w:val="00FC7D82"/>
    <w:rsid w:val="00FD202F"/>
    <w:rsid w:val="00FD3304"/>
    <w:rsid w:val="00FD3734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0B8D7F1E"/>
  <w15:docId w15:val="{38467FAA-6189-4CFE-9A3D-C554AF2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CA5"/>
    <w:pPr>
      <w:numPr>
        <w:ilvl w:val="1"/>
        <w:numId w:val="1"/>
      </w:numPr>
      <w:tabs>
        <w:tab w:val="clear" w:pos="1135"/>
        <w:tab w:val="num" w:pos="851"/>
      </w:tabs>
      <w:spacing w:after="0" w:line="240" w:lineRule="auto"/>
      <w:ind w:left="851"/>
      <w:contextualSpacing/>
    </w:pPr>
    <w:rPr>
      <w:rFonts w:ascii="Calibri" w:eastAsia="Times New Roman" w:hAnsi="Calibri" w:cs="Calibri"/>
    </w:rPr>
  </w:style>
  <w:style w:type="paragraph" w:styleId="Heading1">
    <w:name w:val="heading 1"/>
    <w:basedOn w:val="Normal"/>
    <w:link w:val="Heading1Char"/>
    <w:qFormat/>
    <w:rsid w:val="00AA097E"/>
    <w:pPr>
      <w:numPr>
        <w:ilvl w:val="0"/>
        <w:numId w:val="0"/>
      </w:numPr>
      <w:ind w:left="851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qFormat/>
    <w:rsid w:val="000C384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842"/>
    <w:pPr>
      <w:numPr>
        <w:ilvl w:val="0"/>
        <w:numId w:val="0"/>
      </w:numPr>
      <w:ind w:left="851" w:hanging="851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AB1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02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A097E"/>
    <w:rPr>
      <w:rFonts w:ascii="Calibri" w:eastAsia="Times New Roman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rsid w:val="000C3842"/>
    <w:rPr>
      <w:rFonts w:ascii="Calibri" w:eastAsia="Times New Roman" w:hAnsi="Calibri" w:cs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0026"/>
    <w:rPr>
      <w:b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0026"/>
    <w:rPr>
      <w:rFonts w:ascii="Calibri" w:eastAsia="Times New Roman" w:hAnsi="Calibri" w:cs="Calibri"/>
      <w:b/>
      <w:i/>
      <w:iCs/>
      <w:color w:val="000000" w:themeColor="text1"/>
    </w:rPr>
  </w:style>
  <w:style w:type="paragraph" w:customStyle="1" w:styleId="ExplanatoryText">
    <w:name w:val="Explanatory Text"/>
    <w:basedOn w:val="Normal"/>
    <w:link w:val="ExplanatoryTextChar"/>
    <w:rsid w:val="008A4C6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0C3842"/>
    <w:rPr>
      <w:rFonts w:ascii="Calibri" w:eastAsia="Times New Roman" w:hAnsi="Calibri" w:cs="Calibri"/>
      <w:b/>
    </w:rPr>
  </w:style>
  <w:style w:type="character" w:customStyle="1" w:styleId="ExplanatoryTextChar">
    <w:name w:val="Explanatory Text Char"/>
    <w:basedOn w:val="DefaultParagraphFont"/>
    <w:link w:val="ExplanatoryText"/>
    <w:rsid w:val="008A4C65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9A7AB1"/>
    <w:rPr>
      <w:rFonts w:ascii="Calibri" w:eastAsia="Times New Roman" w:hAnsi="Calibri" w:cs="Calibri"/>
      <w:b/>
    </w:rPr>
  </w:style>
  <w:style w:type="paragraph" w:customStyle="1" w:styleId="BlankLine">
    <w:name w:val="Blank Line"/>
    <w:basedOn w:val="Normal"/>
    <w:link w:val="BlankLineChar"/>
    <w:qFormat/>
    <w:rsid w:val="009B0CA5"/>
    <w:pPr>
      <w:numPr>
        <w:ilvl w:val="0"/>
        <w:numId w:val="0"/>
      </w:numPr>
      <w:ind w:left="851" w:hanging="851"/>
    </w:pPr>
  </w:style>
  <w:style w:type="paragraph" w:styleId="ListParagraph">
    <w:name w:val="List Paragraph"/>
    <w:basedOn w:val="Normal"/>
    <w:uiPriority w:val="34"/>
    <w:qFormat/>
    <w:rsid w:val="00BB38C6"/>
    <w:pPr>
      <w:numPr>
        <w:ilvl w:val="0"/>
        <w:numId w:val="2"/>
      </w:numPr>
    </w:pPr>
  </w:style>
  <w:style w:type="character" w:customStyle="1" w:styleId="BlankLineChar">
    <w:name w:val="Blank Line Char"/>
    <w:basedOn w:val="DefaultParagraphFont"/>
    <w:link w:val="BlankLine"/>
    <w:rsid w:val="009B0CA5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D337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673"/>
    <w:pPr>
      <w:tabs>
        <w:tab w:val="clear" w:pos="85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673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1673"/>
    <w:pPr>
      <w:tabs>
        <w:tab w:val="clear" w:pos="85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673"/>
    <w:rPr>
      <w:rFonts w:ascii="Calibri" w:eastAsia="Times New Roman" w:hAnsi="Calibri" w:cs="Calibri"/>
    </w:rPr>
  </w:style>
  <w:style w:type="character" w:styleId="PlaceholderText">
    <w:name w:val="Placeholder Text"/>
    <w:basedOn w:val="DefaultParagraphFont"/>
    <w:uiPriority w:val="99"/>
    <w:semiHidden/>
    <w:rsid w:val="005616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73"/>
    <w:rPr>
      <w:rFonts w:ascii="Tahoma" w:eastAsia="Times New Roman" w:hAnsi="Tahoma" w:cs="Tahoma"/>
      <w:sz w:val="16"/>
      <w:szCs w:val="16"/>
    </w:rPr>
  </w:style>
  <w:style w:type="paragraph" w:customStyle="1" w:styleId="Definitionheading">
    <w:name w:val="Definition heading"/>
    <w:basedOn w:val="Normal"/>
    <w:link w:val="DefinitionheadingChar"/>
    <w:qFormat/>
    <w:rsid w:val="00DA6139"/>
    <w:rPr>
      <w:b/>
    </w:rPr>
  </w:style>
  <w:style w:type="character" w:styleId="Emphasis">
    <w:name w:val="Emphasis"/>
    <w:uiPriority w:val="20"/>
    <w:qFormat/>
    <w:rsid w:val="00972E55"/>
    <w:rPr>
      <w:i/>
    </w:rPr>
  </w:style>
  <w:style w:type="character" w:customStyle="1" w:styleId="DefinitionheadingChar">
    <w:name w:val="Definition heading Char"/>
    <w:basedOn w:val="DefaultParagraphFont"/>
    <w:link w:val="Definitionheading"/>
    <w:rsid w:val="00DA6139"/>
    <w:rPr>
      <w:rFonts w:ascii="Calibri" w:eastAsia="Times New Roman" w:hAnsi="Calibri" w:cs="Calibri"/>
      <w:b/>
    </w:rPr>
  </w:style>
  <w:style w:type="character" w:styleId="Strong">
    <w:name w:val="Strong"/>
    <w:basedOn w:val="DefaultParagraphFont"/>
    <w:uiPriority w:val="22"/>
    <w:qFormat/>
    <w:rsid w:val="00A37657"/>
    <w:rPr>
      <w:bCs/>
    </w:rPr>
  </w:style>
  <w:style w:type="paragraph" w:customStyle="1" w:styleId="ProposalTitle">
    <w:name w:val="Proposal Title"/>
    <w:basedOn w:val="Normal"/>
    <w:rsid w:val="00643739"/>
    <w:pPr>
      <w:numPr>
        <w:ilvl w:val="0"/>
        <w:numId w:val="0"/>
      </w:numPr>
      <w:spacing w:after="160"/>
      <w:contextualSpacing w:val="0"/>
    </w:pPr>
    <w:rPr>
      <w:rFonts w:ascii="EY Gothic Cond Demi" w:hAnsi="EY Gothic Cond Demi" w:cs="Times New Roman"/>
      <w:color w:val="4367C5"/>
      <w:sz w:val="6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3A80"/>
    <w:rPr>
      <w:color w:val="800080" w:themeColor="followedHyperlink"/>
      <w:u w:val="single"/>
    </w:rPr>
  </w:style>
  <w:style w:type="paragraph" w:customStyle="1" w:styleId="Bullets">
    <w:name w:val="Bullets"/>
    <w:basedOn w:val="Normal"/>
    <w:uiPriority w:val="99"/>
    <w:rsid w:val="0006094C"/>
    <w:pPr>
      <w:numPr>
        <w:ilvl w:val="0"/>
        <w:numId w:val="11"/>
      </w:numPr>
      <w:contextualSpacing w:val="0"/>
    </w:pPr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039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039"/>
    <w:rPr>
      <w:rFonts w:ascii="Calibri" w:eastAsia="Times New Roman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F4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DefaultParagraphFont"/>
    <w:rsid w:val="0049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tforhealth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cation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F1BAB-B563-44DD-AEBB-974B724A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field</dc:creator>
  <cp:lastModifiedBy>Coyles, Nicole (Health)</cp:lastModifiedBy>
  <cp:revision>4</cp:revision>
  <cp:lastPrinted>2015-05-13T03:54:00Z</cp:lastPrinted>
  <dcterms:created xsi:type="dcterms:W3CDTF">2018-02-22T23:52:00Z</dcterms:created>
  <dcterms:modified xsi:type="dcterms:W3CDTF">2018-02-23T00:05:00Z</dcterms:modified>
</cp:coreProperties>
</file>